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judge-legal-judicial-consultancy"/>
    <w:p>
      <w:pPr>
        <w:pStyle w:val="Heading1"/>
      </w:pPr>
      <w:r>
        <w:t xml:space="preserve">JUDGE Legal &amp; Judicial Consultancy</w:t>
      </w:r>
    </w:p>
    <w:p>
      <w:pPr>
        <w:pStyle w:val="FirstParagraph"/>
      </w:pPr>
      <w:r>
        <w:t xml:space="preserve">CR No: 1010456789</w:t>
      </w:r>
    </w:p>
    <w:p>
      <w:pPr>
        <w:pStyle w:val="BodyText"/>
      </w:pPr>
      <w:r>
        <w:t xml:space="preserve">VAT Registration No: 310123456700003</w:t>
      </w:r>
    </w:p>
    <w:p>
      <w:pPr>
        <w:pStyle w:val="BodyText"/>
      </w:pPr>
      <w:r>
        <w:t xml:space="preserve">Office 1204, Al Faisaliah Tower, King Fahd Road</w:t>
      </w:r>
    </w:p>
    <w:p>
      <w:pPr>
        <w:pStyle w:val="BodyText"/>
      </w:pPr>
      <w:r>
        <w:t xml:space="preserve">Riyadh 12212, Saudi Arabia</w:t>
      </w:r>
    </w:p>
    <w:p>
      <w:pPr>
        <w:pStyle w:val="BodyText"/>
      </w:pPr>
      <w:r>
        <w:t xml:space="preserve">Tel: +966 11 456 7890 | Email: billing@judge-legal.sa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JUDGE-INV-2025-00472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Case File No. RJ-2025-3381</w:t>
      </w:r>
    </w:p>
    <w:bookmarkEnd w:id="21"/>
    <w:bookmarkStart w:id="22" w:name="billed-to"/>
    <w:p>
      <w:pPr>
        <w:pStyle w:val="Heading3"/>
      </w:pPr>
      <w:r>
        <w:t xml:space="preserve">Billed To</w:t>
      </w:r>
    </w:p>
    <w:p>
      <w:pPr>
        <w:pStyle w:val="FirstParagraph"/>
      </w:pPr>
      <w:r>
        <w:rPr>
          <w:bCs/>
          <w:b/>
        </w:rPr>
        <w:t xml:space="preserve">Al-Riyadh Industrial Development Co.</w:t>
      </w:r>
    </w:p>
    <w:p>
      <w:pPr>
        <w:pStyle w:val="BodyText"/>
      </w:pPr>
      <w:r>
        <w:t xml:space="preserve">CR No: 4030987654</w:t>
      </w:r>
    </w:p>
    <w:p>
      <w:pPr>
        <w:pStyle w:val="BodyText"/>
      </w:pPr>
      <w:r>
        <w:t xml:space="preserve">VAT No: 310987654300003</w:t>
      </w:r>
    </w:p>
    <w:p>
      <w:pPr>
        <w:pStyle w:val="BodyText"/>
      </w:pPr>
      <w:r>
        <w:t xml:space="preserve">Building 7, District 2211, Al Olaya</w:t>
      </w:r>
    </w:p>
    <w:p>
      <w:pPr>
        <w:pStyle w:val="BodyText"/>
      </w:pPr>
      <w:r>
        <w:t xml:space="preserve">Riyadh 12241, Saudi Arabia</w:t>
      </w:r>
    </w:p>
    <w:p>
      <w:pPr>
        <w:pStyle w:val="BodyText"/>
      </w:pPr>
      <w:r>
        <w:t xml:space="preserve">Attn: Mr. Khalid Al-Otaibi, General Counsel</w:t>
      </w:r>
    </w:p>
    <w:bookmarkEnd w:id="22"/>
    <w:bookmarkStart w:id="23" w:name="service-provider"/>
    <w:p>
      <w:pPr>
        <w:pStyle w:val="Heading3"/>
      </w:pPr>
      <w:r>
        <w:t xml:space="preserve">Service Provider</w:t>
      </w:r>
    </w:p>
    <w:p>
      <w:pPr>
        <w:pStyle w:val="FirstParagraph"/>
      </w:pPr>
      <w:r>
        <w:rPr>
          <w:bCs/>
          <w:b/>
        </w:rPr>
        <w:t xml:space="preserve">JUDGE Legal &amp; Judicial Consultancy</w:t>
      </w:r>
    </w:p>
    <w:p>
      <w:pPr>
        <w:pStyle w:val="BodyText"/>
      </w:pPr>
      <w:r>
        <w:t xml:space="preserve">Licensed by the Saudi Ministry of Justice</w:t>
      </w:r>
    </w:p>
    <w:p>
      <w:pPr>
        <w:pStyle w:val="BodyText"/>
      </w:pPr>
      <w:r>
        <w:t xml:space="preserve">License No: MOJ-2019-44521</w:t>
      </w:r>
    </w:p>
    <w:p>
      <w:pPr>
        <w:pStyle w:val="BodyText"/>
      </w:pPr>
      <w:r>
        <w:t xml:space="preserve">King Fahd Road, Riyadh, Saudi Arabia</w:t>
      </w:r>
    </w:p>
    <w:p>
      <w:pPr>
        <w:pStyle w:val="BodyText"/>
      </w:pPr>
      <w:r>
        <w:t xml:space="preserve">Authorized Signatory: Dr. Faisal Al-Harbi</w:t>
      </w:r>
    </w:p>
    <w:p>
      <w:pPr>
        <w:pStyle w:val="BodyText"/>
      </w:pPr>
      <w:r>
        <w:t xml:space="preserve">Senior Judicial Consultant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Judicial / Legal Service</w:t>
            </w:r>
          </w:p>
        </w:tc>
        <w:tc>
          <w:tcPr/>
          <w:p>
            <w:pPr>
              <w:pStyle w:val="Compact"/>
              <w:jc w:val="left"/>
            </w:pPr>
            <w:r>
              <w:t xml:space="preserve">Date Rendered</w:t>
            </w:r>
          </w:p>
        </w:tc>
        <w:tc>
          <w:tcPr/>
          <w:p>
            <w:pPr>
              <w:pStyle w:val="Compact"/>
              <w:jc w:val="left"/>
            </w:pPr>
            <w:r>
              <w:t xml:space="preserve">Hours / Units</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Preparation and filing of commercial dispute petition before the Riyadh Commercial Court (First Instance) on behalf of the client, including drafting of the statement of claim and supporting evidentiary exhibits in accordance with the Saudi Commercial Courts Law.</w:t>
            </w:r>
          </w:p>
        </w:tc>
        <w:tc>
          <w:tcPr/>
          <w:p>
            <w:pPr>
              <w:pStyle w:val="Compact"/>
              <w:jc w:val="left"/>
            </w:pPr>
            <w:r>
              <w:t xml:space="preserve">02 Jun 2025</w:t>
            </w:r>
          </w:p>
        </w:tc>
        <w:tc>
          <w:tcPr/>
          <w:p>
            <w:pPr>
              <w:pStyle w:val="Compact"/>
              <w:jc w:val="left"/>
            </w:pPr>
            <w:r>
              <w:t xml:space="preserve">12 hrs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Representation and advocacy before the Judge presiding over Case No. RJ-2025-3381 at the Riyadh Commercial Court, including attendance at the initial hearing, cross-examination of opposing witnesses, and submission of oral arguments regarding the breach of supply contract.</w:t>
            </w:r>
          </w:p>
        </w:tc>
        <w:tc>
          <w:tcPr/>
          <w:p>
            <w:pPr>
              <w:pStyle w:val="Compact"/>
              <w:jc w:val="left"/>
            </w:pPr>
            <w:r>
              <w:t xml:space="preserve">05 Jun 2025</w:t>
            </w:r>
          </w:p>
        </w:tc>
        <w:tc>
          <w:tcPr/>
          <w:p>
            <w:pPr>
              <w:pStyle w:val="Compact"/>
              <w:jc w:val="left"/>
            </w:pPr>
            <w:r>
              <w:t xml:space="preserve">6 hrs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Comprehensive legal opinion and judicial risk assessment memorandum addressing the enforceability of arbitration clauses under the Saudi Arbitration Law (Royal Decree No. M/19, 2023) and the applicable provisions of the Saudi Civil Transactions Law.</w:t>
            </w:r>
          </w:p>
        </w:tc>
        <w:tc>
          <w:tcPr/>
          <w:p>
            <w:pPr>
              <w:pStyle w:val="Compact"/>
              <w:jc w:val="left"/>
            </w:pPr>
            <w:r>
              <w:t xml:space="preserve">08 Jun 2025</w:t>
            </w:r>
          </w:p>
        </w:tc>
        <w:tc>
          <w:tcPr/>
          <w:p>
            <w:pPr>
              <w:pStyle w:val="Compact"/>
              <w:jc w:val="left"/>
            </w:pPr>
            <w:r>
              <w:t xml:space="preserve">8 hrs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Coordination with the Saudi Central Bank (SAMA) and the Riyadh Financial District regulatory office for compliance review of the disputed financial instruments referenced in the commercial litigation matter.</w:t>
            </w:r>
          </w:p>
        </w:tc>
        <w:tc>
          <w:tcPr/>
          <w:p>
            <w:pPr>
              <w:pStyle w:val="Compact"/>
              <w:jc w:val="left"/>
            </w:pPr>
            <w:r>
              <w:t xml:space="preserve">10 Jun 2025</w:t>
            </w:r>
          </w:p>
        </w:tc>
        <w:tc>
          <w:tcPr/>
          <w:p>
            <w:pPr>
              <w:pStyle w:val="Compact"/>
              <w:jc w:val="left"/>
            </w:pPr>
            <w:r>
              <w:t xml:space="preserve">4 hrs</w:t>
            </w:r>
          </w:p>
        </w:tc>
        <w:tc>
          <w:tcPr/>
          <w:p>
            <w:pPr>
              <w:pStyle w:val="Compact"/>
              <w:jc w:val="left"/>
            </w:pPr>
            <w:r>
              <w:t xml:space="preserve">1,400.00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Post-hearing written submissions and legal briefs filed with the Judge of the Riyadh Commercial Court, including a detailed rebuttal to the defendant's defense and a supplementary memorandum of law citing relevant Saudi judicial precedents and Sharia-based legal principles.</w:t>
            </w:r>
          </w:p>
        </w:tc>
        <w:tc>
          <w:tcPr/>
          <w:p>
            <w:pPr>
              <w:pStyle w:val="Compact"/>
              <w:jc w:val="left"/>
            </w:pPr>
            <w:r>
              <w:t xml:space="preserve">12 Jun 2025</w:t>
            </w:r>
          </w:p>
        </w:tc>
        <w:tc>
          <w:tcPr/>
          <w:p>
            <w:pPr>
              <w:pStyle w:val="Compact"/>
              <w:jc w:val="left"/>
            </w:pPr>
            <w:r>
              <w:t xml:space="preserve">10 hrs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Administrative and logistical support: translation of evidentiary documents from Arabic to English, certified notarization at the Riyadh Notary Public Office, and courier delivery of court filings to the relevant judicial chambers in Riyadh.</w:t>
            </w:r>
          </w:p>
        </w:tc>
        <w:tc>
          <w:tcPr/>
          <w:p>
            <w:pPr>
              <w:pStyle w:val="Compact"/>
              <w:jc w:val="left"/>
            </w:pPr>
            <w:r>
              <w:t xml:space="preserve">13 Jun 2025</w:t>
            </w:r>
          </w:p>
        </w:tc>
        <w:tc>
          <w:tcPr/>
          <w:p>
            <w:pPr>
              <w:pStyle w:val="Compact"/>
              <w:jc w:val="left"/>
            </w:pPr>
            <w:r>
              <w:t xml:space="preserve">5 hrs</w:t>
            </w:r>
          </w:p>
        </w:tc>
        <w:tc>
          <w:tcPr/>
          <w:p>
            <w:pPr>
              <w:pStyle w:val="Compact"/>
              <w:jc w:val="left"/>
            </w:pPr>
            <w:r>
              <w:t xml:space="preserve">600.00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53,600.00</w:t>
            </w:r>
          </w:p>
        </w:tc>
      </w:tr>
      <w:tr>
        <w:tc>
          <w:tcPr/>
          <w:p>
            <w:pPr>
              <w:pStyle w:val="Compact"/>
              <w:jc w:val="left"/>
            </w:pPr>
            <w:r>
              <w:t xml:space="preserve">VAT @ 15% (SAR)</w:t>
            </w:r>
          </w:p>
        </w:tc>
        <w:tc>
          <w:tcPr/>
          <w:p>
            <w:pPr>
              <w:pStyle w:val="Compact"/>
              <w:jc w:val="right"/>
            </w:pPr>
            <w:r>
              <w:t xml:space="preserve">8,040.00</w:t>
            </w:r>
          </w:p>
        </w:tc>
      </w:tr>
      <w:tr>
        <w:tc>
          <w:tcPr/>
          <w:p>
            <w:pPr>
              <w:pStyle w:val="Compact"/>
              <w:jc w:val="left"/>
            </w:pPr>
            <w:r>
              <w:t xml:space="preserve">Court Filing &amp; Stamp Fees (SAR)</w:t>
            </w:r>
          </w:p>
        </w:tc>
        <w:tc>
          <w:tcPr/>
          <w:p>
            <w:pPr>
              <w:pStyle w:val="Compact"/>
              <w:jc w:val="right"/>
            </w:pPr>
            <w:r>
              <w:t xml:space="preserve">2,350.00</w:t>
            </w:r>
          </w:p>
        </w:tc>
      </w:tr>
      <w:tr>
        <w:tc>
          <w:tcPr/>
          <w:p>
            <w:pPr>
              <w:pStyle w:val="Compact"/>
              <w:jc w:val="left"/>
            </w:pPr>
            <w:r>
              <w:t xml:space="preserve">GRAND TOTAL (SAR)</w:t>
            </w:r>
          </w:p>
        </w:tc>
        <w:tc>
          <w:tcPr/>
          <w:p>
            <w:pPr>
              <w:pStyle w:val="Compact"/>
              <w:jc w:val="right"/>
            </w:pPr>
            <w:r>
              <w:t xml:space="preserve">63,990.00</w:t>
            </w:r>
          </w:p>
        </w:tc>
      </w:tr>
    </w:tbl>
    <w:p>
      <w:pPr>
        <w:pStyle w:val="BodyText"/>
      </w:pPr>
      <w:r>
        <w:rPr>
          <w:bCs/>
          <w:b/>
        </w:rPr>
        <w:t xml:space="preserve">Note:</w:t>
      </w:r>
      <w:r>
        <w:t xml:space="preserve"> </w:t>
      </w:r>
      <w:r>
        <w:t xml:space="preserve">This Invoice is issued in accordance with the Saudi Value Added Tax (VAT) Law and the regulations of the Zakat, Tax and Customs Authority (ZATCA) in Riyadh, Saudi Arabia. The 15% VAT rate is applied as mandated by Royal Decree. Court filing and stamp fees are non-taxable government charges and are listed separately.</w:t>
      </w:r>
    </w:p>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by JUDGE Legal &amp; Judicial Consultancy, a licensed legal practice operating under the jurisdiction of the Saudi Ministry of Justice, Riyadh, Saudi Arabia. All services rendered are subject to the Saudi legal framework and the rules of professional conduct governing legal practitioners in the Kingdom.</w:t>
      </w:r>
    </w:p>
    <w:p>
      <w:pPr>
        <w:numPr>
          <w:ilvl w:val="0"/>
          <w:numId w:val="1001"/>
        </w:numPr>
        <w:pStyle w:val="Compact"/>
      </w:pPr>
      <w:r>
        <w:t xml:space="preserve">Payment of the full amount stated in this Invoice, totaling SAR 63,990.00 (Sixty-Three Thousand Nine Hundred Ninety Saudi Riyals), is due within thirty (30) calendar days from the date of issue, i.e., no later than 15 July 2025. Payment shall be made via bank transfer to the firm's designated account at Al Rajhi Bank, Riyadh Branch, IBAN: SA03 8000 0000 6080 1016 7519.</w:t>
      </w:r>
    </w:p>
    <w:p>
      <w:pPr>
        <w:numPr>
          <w:ilvl w:val="0"/>
          <w:numId w:val="1001"/>
        </w:numPr>
        <w:pStyle w:val="Compact"/>
      </w:pPr>
      <w:r>
        <w:t xml:space="preserve">In the event of non-payment by the due date, a late payment penalty of 2% per month shall be applied in accordance with the Saudi Commercial Transactions Law and the terms of the engagement letter signed between the parties on 25 May 2025.</w:t>
      </w:r>
    </w:p>
    <w:p>
      <w:pPr>
        <w:numPr>
          <w:ilvl w:val="0"/>
          <w:numId w:val="1001"/>
        </w:numPr>
        <w:pStyle w:val="Compact"/>
      </w:pPr>
      <w:r>
        <w:t xml:space="preserve">All judicial and legal services described in this Invoice were performed in Riyadh, Saudi Arabia, and are governed by the laws of the Kingdom of Saudi Arabia. Any disputes arising from this Invoice or the underlying engagement shall be submitted to the competent courts in Riyadh or, at the client's election, to the Saudi Center for Commercial Arbitration (SCCA) seated in Riyadh.</w:t>
      </w:r>
    </w:p>
    <w:p>
      <w:pPr>
        <w:numPr>
          <w:ilvl w:val="0"/>
          <w:numId w:val="1001"/>
        </w:numPr>
        <w:pStyle w:val="Compact"/>
      </w:pPr>
      <w:r>
        <w:t xml:space="preserve">This Invoice constitutes a final and binding statement of fees for the services rendered during the period of 02 June 2025 through 13 June 2025. No additional charges shall be incurred for the matters described herein unless a separate written amendment to the engagement is executed by both parties.</w:t>
      </w:r>
    </w:p>
    <w:p>
      <w:pPr>
        <w:numPr>
          <w:ilvl w:val="0"/>
          <w:numId w:val="1001"/>
        </w:numPr>
        <w:pStyle w:val="Compact"/>
      </w:pPr>
      <w:r>
        <w:t xml:space="preserve">The client acknowledges that JUDGE Legal &amp; Judicial Consultancy acts as an independent legal advisor and advocate before the Judge and the courts of Riyadh. The firm does not guarantee any specific judicial outcome, as all matters are subject to the discretion and ruling of the presiding Judge in accordance with Saudi law and Sharia principles.</w:t>
      </w:r>
    </w:p>
    <w:p>
      <w:pPr>
        <w:numPr>
          <w:ilvl w:val="0"/>
          <w:numId w:val="1001"/>
        </w:numPr>
        <w:pStyle w:val="Compact"/>
      </w:pPr>
      <w:r>
        <w:t xml:space="preserve">This document is valid only when bearing the official stamp and authorized signature of JUDGE Legal &amp; Judicial Consultancy. Electronic copies transmitted via secure email are considered valid for accounting and tax purposes in Saudi Arabia.</w:t>
      </w:r>
    </w:p>
    <w:bookmarkEnd w:id="24"/>
    <w:p>
      <w:pPr>
        <w:pStyle w:val="FirstParagraph"/>
      </w:pPr>
      <w:r>
        <w:t xml:space="preserve">[ Official Firm Stamp ]</w:t>
      </w:r>
    </w:p>
    <w:p>
      <w:pPr>
        <w:pStyle w:val="BodyText"/>
      </w:pPr>
      <w:r>
        <w:t xml:space="preserve">[ Authorized Signature ]</w:t>
      </w:r>
    </w:p>
    <w:p>
      <w:pPr>
        <w:pStyle w:val="BodyText"/>
      </w:pPr>
      <w:r>
        <w:t xml:space="preserve">JUDGE Legal &amp; Judicial Consultancy | King Fahd Road, Riyadh 12212, Saudi Arabia | CR: 1010456789 | VAT: 310123456700003</w:t>
      </w:r>
    </w:p>
    <w:p>
      <w:pPr>
        <w:pStyle w:val="BodyText"/>
      </w:pPr>
      <w:r>
        <w:t xml:space="preserve">This Invoice was generated in Riyadh, Saudi Arabia, on 15 June 2025. For queries, contact billing@judge-legal.sa or call +966 11 456 7890.</w:t>
      </w:r>
    </w:p>
    <w:p>
      <w:pPr>
        <w:pStyle w:val="BodyText"/>
      </w:pPr>
      <w:r>
        <w:t xml:space="preserve">© 2025 JUDGE Legal &amp; Judicial Consultancy. All rights reserved. Issued under the laws of the Kingdom of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Services - Riyadh, Saudi Arabia</dc:title>
  <dc:creator/>
  <dc:language>en</dc:language>
  <cp:keywords/>
  <dcterms:created xsi:type="dcterms:W3CDTF">2026-10-10T07:20:30Z</dcterms:created>
  <dcterms:modified xsi:type="dcterms:W3CDTF">2026-10-10T07:20:30Z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