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Judge</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Judicial Services — Official Invoice for Judge Proceedings</w:t>
      </w:r>
    </w:p>
    <w:p>
      <w:pPr>
        <w:pStyle w:val="BodyText"/>
      </w:pPr>
      <w:r>
        <w:t xml:space="preserve">Issued in Spain Barcelona — Autonomous Community of Catalonia</w:t>
      </w:r>
    </w:p>
    <w:bookmarkEnd w:id="20"/>
    <w:p>
      <w:pPr>
        <w:pStyle w:val="BodyText"/>
      </w:pPr>
      <w:r>
        <w:rPr>
          <w:bCs/>
          <w:b/>
        </w:rPr>
        <w:t xml:space="preserve">Invoice Number:</w:t>
      </w:r>
      <w:r>
        <w:t xml:space="preserve"> </w:t>
      </w:r>
      <w:r>
        <w:t xml:space="preserve">INV-JDG-BCN-2025-04872</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Issuing Authority:</w:t>
      </w:r>
      <w:r>
        <w:br/>
      </w:r>
      <w:r>
        <w:t xml:space="preserve">Juzgado de Primera Instancia Nº 12</w:t>
      </w:r>
      <w:r>
        <w:br/>
      </w:r>
      <w:r>
        <w:t xml:space="preserve">Plaza de la Catedral, 1</w:t>
      </w:r>
      <w:r>
        <w:br/>
      </w:r>
      <w:r>
        <w:t xml:space="preserve">08002 Barcelona, Spain</w:t>
      </w:r>
      <w:r>
        <w:br/>
      </w:r>
      <w:r>
        <w:rPr>
          <w:bCs/>
          <w:b/>
        </w:rPr>
        <w:t xml:space="preserve">Judge Reference:</w:t>
      </w:r>
      <w:r>
        <w:t xml:space="preserve"> </w:t>
      </w:r>
      <w:r>
        <w:t xml:space="preserve">HON. JUDGE MÓNICA A. SERRANO VÍLCHEZ</w:t>
      </w:r>
      <w:r>
        <w:br/>
      </w:r>
      <w:r>
        <w:rPr>
          <w:bCs/>
          <w:b/>
        </w:rPr>
        <w:t xml:space="preserve">NIF:</w:t>
      </w:r>
      <w:r>
        <w:t xml:space="preserve"> </w:t>
      </w:r>
      <w:r>
        <w:t xml:space="preserve">28475619X</w:t>
      </w:r>
    </w:p>
    <w:p>
      <w:pPr>
        <w:pStyle w:val="BodyText"/>
      </w:pPr>
      <w:r>
        <w:t xml:space="preserve">BILL TO — PARTY REQUIRING JUDICIAL SERVICES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 Party Name:</w:t>
            </w:r>
            <w:r>
              <w:t xml:space="preserve"> </w:t>
            </w:r>
            <w:r>
              <w:t xml:space="preserve">Grupo Empresarial Mediterráneo, S.A.</w:t>
            </w:r>
          </w:p>
        </w:tc>
        <w:tc>
          <w:tcPr/>
          <w:p>
            <w:pPr>
              <w:pStyle w:val="Compact"/>
              <w:jc w:val="left"/>
            </w:pPr>
            <w:r>
              <w:rPr>
                <w:bCs/>
                <w:b/>
              </w:rPr>
              <w:t xml:space="preserve">Reference Case No.:</w:t>
            </w:r>
            <w:r>
              <w:t xml:space="preserve"> </w:t>
            </w:r>
            <w:r>
              <w:t xml:space="preserve">2025/3847-CIV</w:t>
            </w:r>
          </w:p>
        </w:tc>
      </w:tr>
      <w:tr>
        <w:tc>
          <w:tcPr/>
          <w:p>
            <w:pPr>
              <w:pStyle w:val="Compact"/>
              <w:jc w:val="left"/>
            </w:pPr>
            <w:r>
              <w:rPr>
                <w:bCs/>
                <w:b/>
              </w:rPr>
              <w:t xml:space="preserve">Address:</w:t>
            </w:r>
            <w:r>
              <w:t xml:space="preserve"> </w:t>
            </w:r>
            <w:r>
              <w:t xml:space="preserve">Av. Diagonal 650, 4º 2º, 08028 Barcelona, Spain</w:t>
            </w:r>
          </w:p>
        </w:tc>
        <w:tc>
          <w:tcPr/>
          <w:p>
            <w:pPr>
              <w:pStyle w:val="Compact"/>
              <w:jc w:val="left"/>
            </w:pPr>
            <w:r>
              <w:rPr>
                <w:bCs/>
                <w:b/>
              </w:rPr>
              <w:t xml:space="preserve">Legal Representative:</w:t>
            </w:r>
            <w:r>
              <w:t xml:space="preserve"> </w:t>
            </w:r>
            <w:r>
              <w:t xml:space="preserve">D. Carlos Ferrer Puig</w:t>
            </w:r>
          </w:p>
        </w:tc>
      </w:tr>
      <w:tr>
        <w:tc>
          <w:tcPr/>
          <w:p>
            <w:pPr>
              <w:pStyle w:val="Compact"/>
              <w:jc w:val="left"/>
            </w:pPr>
            <w:r>
              <w:rPr>
                <w:bCs/>
                <w:b/>
              </w:rPr>
              <w:t xml:space="preserve">CIF:</w:t>
            </w:r>
            <w:r>
              <w:t xml:space="preserve"> </w:t>
            </w:r>
            <w:r>
              <w:t xml:space="preserve">A58293741</w:t>
            </w:r>
          </w:p>
        </w:tc>
        <w:tc>
          <w:tcPr/>
          <w:p>
            <w:pPr>
              <w:pStyle w:val="Compact"/>
              <w:jc w:val="left"/>
            </w:pPr>
            <w:r>
              <w:rPr>
                <w:bCs/>
                <w:b/>
              </w:rPr>
              <w:t xml:space="preserve">Law Firm of Record:</w:t>
            </w:r>
            <w:r>
              <w:t xml:space="preserve"> </w:t>
            </w:r>
            <w:r>
              <w:t xml:space="preserve">Bufete López &amp; Asociados, Barcelona</w:t>
            </w:r>
          </w:p>
        </w:tc>
      </w:tr>
    </w:tbl>
    <w:p>
      <w:pPr>
        <w:pStyle w:val="BodyText"/>
      </w:pPr>
      <w:r>
        <w:t xml:space="preserve">DESCRIPTION OF JUDICIAL SERVICES —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Presiding Judge session — Initial hearing and case management conference. The Judge conducted the full procedural review of the civil dispute and issued preliminary rulings in the courtroom of the Juzgado in Spain Barcelona.</w:t>
            </w:r>
          </w:p>
        </w:tc>
        <w:tc>
          <w:tcPr/>
          <w:p>
            <w:pPr>
              <w:pStyle w:val="Compact"/>
              <w:jc w:val="left"/>
            </w:pPr>
            <w:r>
              <w:t xml:space="preserve">03/06/2025</w:t>
            </w:r>
          </w:p>
        </w:tc>
        <w:tc>
          <w:tcPr/>
          <w:p>
            <w:pPr>
              <w:pStyle w:val="Compact"/>
              <w:jc w:val="left"/>
            </w:pPr>
            <w:r>
              <w:t xml:space="preserve">4.5 hrs</w:t>
            </w:r>
          </w:p>
        </w:tc>
        <w:tc>
          <w:tcPr/>
          <w:p>
            <w:pPr>
              <w:pStyle w:val="Compact"/>
              <w:jc w:val="left"/>
            </w:pPr>
            <w:r>
              <w:t xml:space="preserve">€185.00</w:t>
            </w:r>
          </w:p>
        </w:tc>
        <w:tc>
          <w:tcPr/>
          <w:p>
            <w:pPr>
              <w:pStyle w:val="Compact"/>
              <w:jc w:val="left"/>
            </w:pPr>
            <w:r>
              <w:t xml:space="preserve">€832.50</w:t>
            </w:r>
          </w:p>
        </w:tc>
      </w:tr>
      <w:tr>
        <w:tc>
          <w:tcPr/>
          <w:p>
            <w:pPr>
              <w:pStyle w:val="Compact"/>
              <w:jc w:val="left"/>
            </w:pPr>
            <w:r>
              <w:t xml:space="preserve">02</w:t>
            </w:r>
          </w:p>
        </w:tc>
        <w:tc>
          <w:tcPr/>
          <w:p>
            <w:pPr>
              <w:pStyle w:val="Compact"/>
              <w:jc w:val="left"/>
            </w:pPr>
            <w:r>
              <w:t xml:space="preserve">Judge's written ruling (Auto) — Drafting, deliberation, and issuance of the interlocutory order regarding provisional measures. The Judge reviewed all submitted evidence and legal arguments before rendering the decision.</w:t>
            </w:r>
          </w:p>
        </w:tc>
        <w:tc>
          <w:tcPr/>
          <w:p>
            <w:pPr>
              <w:pStyle w:val="Compact"/>
              <w:jc w:val="left"/>
            </w:pPr>
            <w:r>
              <w:t xml:space="preserve">05/06/2025</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Evidence examination session — The Judge presided over the cross-examination of three expert witnesses and two fact witnesses. All proceedings were conducted in accordance with the Spanish Civil Procedure Code (Ley de Enjuiciamiento Civil).</w:t>
            </w:r>
          </w:p>
        </w:tc>
        <w:tc>
          <w:tcPr/>
          <w:p>
            <w:pPr>
              <w:pStyle w:val="Compact"/>
              <w:jc w:val="left"/>
            </w:pPr>
            <w:r>
              <w:t xml:space="preserve">09/06/2025</w:t>
            </w:r>
          </w:p>
        </w:tc>
        <w:tc>
          <w:tcPr/>
          <w:p>
            <w:pPr>
              <w:pStyle w:val="Compact"/>
              <w:jc w:val="left"/>
            </w:pPr>
            <w:r>
              <w:t xml:space="preserve">5.0 hrs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04</w:t>
            </w:r>
          </w:p>
        </w:tc>
        <w:tc>
          <w:tcPr/>
          <w:p>
            <w:pPr>
              <w:pStyle w:val="Compact"/>
              <w:jc w:val="left"/>
            </w:pPr>
            <w:r>
              <w:t xml:space="preserve">Judge's mediation facilitation — The Judge, acting in a conciliatory capacity under Article 222 of the LEC, facilitated a structured mediation session between the disputing parties in the mediation chamber of the Barcelona court.</w:t>
            </w:r>
          </w:p>
        </w:tc>
        <w:tc>
          <w:tcPr/>
          <w:p>
            <w:pPr>
              <w:pStyle w:val="Compact"/>
              <w:jc w:val="left"/>
            </w:pPr>
            <w:r>
              <w:t xml:space="preserve">10/06/2025</w:t>
            </w:r>
          </w:p>
        </w:tc>
        <w:tc>
          <w:tcPr/>
          <w:p>
            <w:pPr>
              <w:pStyle w:val="Compact"/>
              <w:jc w:val="left"/>
            </w:pPr>
            <w:r>
              <w:t xml:space="preserve">3.0 hrs</w:t>
            </w:r>
          </w:p>
        </w:tc>
        <w:tc>
          <w:tcPr/>
          <w:p>
            <w:pPr>
              <w:pStyle w:val="Compact"/>
              <w:jc w:val="left"/>
            </w:pPr>
            <w:r>
              <w:t xml:space="preserve">€160.00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Final judgment drafting (Sentencia) — The Judge prepared, reviewed, and signed the final judgment resolving the merits of the case, including the dispositive section, legal reasoning, and cost allocation. This constitutes the principal judicial act of the proceeding.</w:t>
            </w:r>
          </w:p>
        </w:tc>
        <w:tc>
          <w:tcPr/>
          <w:p>
            <w:pPr>
              <w:pStyle w:val="Compact"/>
              <w:jc w:val="left"/>
            </w:pPr>
            <w:r>
              <w:t xml:space="preserve">12/06/2025</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06</w:t>
            </w:r>
          </w:p>
        </w:tc>
        <w:tc>
          <w:tcPr/>
          <w:p>
            <w:pPr>
              <w:pStyle w:val="Compact"/>
              <w:jc w:val="left"/>
            </w:pPr>
            <w:r>
              <w:t xml:space="preserve">Administrative and clerical support — Court registry filings, document authentication, sealing of the Judge's orders, and transmission of the final judgment to the parties' legal representatives via the electronic court system (LexNET) in Spain Barcelona.</w:t>
            </w:r>
          </w:p>
        </w:tc>
        <w:tc>
          <w:tcPr/>
          <w:p>
            <w:pPr>
              <w:pStyle w:val="Compact"/>
              <w:jc w:val="left"/>
            </w:pPr>
            <w:r>
              <w:t xml:space="preserve">13/06/2025</w:t>
            </w:r>
          </w:p>
        </w:tc>
        <w:tc>
          <w:tcPr/>
          <w:p>
            <w:pPr>
              <w:pStyle w:val="Compact"/>
              <w:jc w:val="left"/>
            </w:pPr>
            <w:r>
              <w:t xml:space="preserve">2.0 hrs</w:t>
            </w:r>
          </w:p>
        </w:tc>
        <w:tc>
          <w:tcPr/>
          <w:p>
            <w:pPr>
              <w:pStyle w:val="Compact"/>
              <w:jc w:val="left"/>
            </w:pPr>
            <w:r>
              <w:t xml:space="preserve">€95.00</w:t>
            </w:r>
          </w:p>
        </w:tc>
        <w:tc>
          <w:tcPr/>
          <w:p>
            <w:pPr>
              <w:pStyle w:val="Compact"/>
              <w:jc w:val="left"/>
            </w:pPr>
            <w:r>
              <w:t xml:space="preserve">€190.00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 by the Judge)</w:t>
            </w:r>
          </w:p>
        </w:tc>
        <w:tc>
          <w:tcPr/>
          <w:p>
            <w:pPr>
              <w:pStyle w:val="Compact"/>
              <w:jc w:val="right"/>
            </w:pPr>
            <w:r>
              <w:t xml:space="preserve">€5,017.50</w:t>
            </w:r>
          </w:p>
        </w:tc>
      </w:tr>
      <w:tr>
        <w:tc>
          <w:tcPr/>
          <w:p>
            <w:pPr>
              <w:pStyle w:val="Compact"/>
              <w:jc w:val="left"/>
            </w:pPr>
            <w:r>
              <w:t xml:space="preserve">Applicable Court Fees (Tasa Judicial)</w:t>
            </w:r>
          </w:p>
        </w:tc>
        <w:tc>
          <w:tcPr/>
          <w:p>
            <w:pPr>
              <w:pStyle w:val="Compact"/>
              <w:jc w:val="right"/>
            </w:pPr>
            <w:r>
              <w:t xml:space="preserve">€320.00</w:t>
            </w:r>
          </w:p>
        </w:tc>
      </w:tr>
      <w:tr>
        <w:tc>
          <w:tcPr/>
          <w:p>
            <w:pPr>
              <w:pStyle w:val="Compact"/>
              <w:jc w:val="left"/>
            </w:pPr>
            <w:r>
              <w:t xml:space="preserve">VAT / IVA (21% — Spain)</w:t>
            </w:r>
          </w:p>
        </w:tc>
        <w:tc>
          <w:tcPr/>
          <w:p>
            <w:pPr>
              <w:pStyle w:val="Compact"/>
              <w:jc w:val="right"/>
            </w:pPr>
            <w:r>
              <w:t xml:space="preserve">€1,137.68</w:t>
            </w:r>
          </w:p>
        </w:tc>
      </w:tr>
      <w:tr>
        <w:tc>
          <w:tcPr/>
          <w:p>
            <w:pPr>
              <w:pStyle w:val="Compact"/>
              <w:jc w:val="left"/>
            </w:pPr>
            <w:r>
              <w:t xml:space="preserve">TOTAL AMOUNT DUE</w:t>
            </w:r>
          </w:p>
        </w:tc>
        <w:tc>
          <w:tcPr/>
          <w:p>
            <w:pPr>
              <w:pStyle w:val="Compact"/>
              <w:jc w:val="right"/>
            </w:pPr>
            <w:r>
              <w:t xml:space="preserve">€6,475.18</w:t>
            </w:r>
          </w:p>
        </w:tc>
      </w:tr>
    </w:tbl>
    <w:p>
      <w:pPr>
        <w:pStyle w:val="BodyText"/>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Method:</w:t>
            </w:r>
            <w:r>
              <w:t xml:space="preserve"> </w:t>
            </w:r>
            <w:r>
              <w:t xml:space="preserve">Bank Transfer (Transferencia Bancaria)</w:t>
            </w:r>
          </w:p>
        </w:tc>
        <w:tc>
          <w:tcPr/>
          <w:p>
            <w:pPr>
              <w:pStyle w:val="Compact"/>
              <w:jc w:val="left"/>
            </w:pPr>
            <w:r>
              <w:rPr>
                <w:bCs/>
                <w:b/>
              </w:rPr>
              <w:t xml:space="preserve">IBAN:</w:t>
            </w:r>
            <w:r>
              <w:t xml:space="preserve"> </w:t>
            </w:r>
            <w:r>
              <w:t xml:space="preserve">ES91 2100 0418 4502 0005 1332</w:t>
            </w:r>
          </w:p>
        </w:tc>
      </w:tr>
      <w:tr>
        <w:tc>
          <w:tcPr/>
          <w:p>
            <w:pPr>
              <w:pStyle w:val="Compact"/>
              <w:jc w:val="left"/>
            </w:pPr>
            <w:r>
              <w:rPr>
                <w:bCs/>
                <w:b/>
              </w:rPr>
              <w:t xml:space="preserve">Bank:</w:t>
            </w:r>
            <w:r>
              <w:t xml:space="preserve"> </w:t>
            </w:r>
            <w:r>
              <w:t xml:space="preserve">Banco de España — Tesorería General de la Seguridad Social</w:t>
            </w:r>
          </w:p>
        </w:tc>
        <w:tc>
          <w:tcPr/>
          <w:p>
            <w:pPr>
              <w:pStyle w:val="Compact"/>
              <w:jc w:val="left"/>
            </w:pPr>
            <w:r>
              <w:rPr>
                <w:bCs/>
                <w:b/>
              </w:rPr>
              <w:t xml:space="preserve">SWIFT/BIC:</w:t>
            </w:r>
            <w:r>
              <w:t xml:space="preserve"> </w:t>
            </w:r>
            <w:r>
              <w:t xml:space="preserve">ESBSESBB</w:t>
            </w:r>
          </w:p>
        </w:tc>
      </w:tr>
      <w:tr>
        <w:tc>
          <w:tcPr/>
          <w:p>
            <w:pPr>
              <w:pStyle w:val="Compact"/>
              <w:jc w:val="left"/>
            </w:pPr>
            <w:r>
              <w:rPr>
                <w:bCs/>
                <w:b/>
              </w:rPr>
              <w:t xml:space="preserve">Reference to include:</w:t>
            </w:r>
            <w:r>
              <w:t xml:space="preserve"> </w:t>
            </w:r>
            <w:r>
              <w:t xml:space="preserve">INV-JDG-BCN-2025-04872 / Case 2025/3847-CIV</w:t>
            </w:r>
          </w:p>
        </w:tc>
        <w:tc>
          <w:tcPr/>
          <w:p>
            <w:pPr>
              <w:pStyle w:val="Compact"/>
              <w:jc w:val="left"/>
            </w:pPr>
            <w:r>
              <w:rPr>
                <w:bCs/>
                <w:b/>
              </w:rPr>
              <w:t xml:space="preserve">Payment Deadline:</w:t>
            </w:r>
            <w:r>
              <w:t xml:space="preserve"> </w:t>
            </w:r>
            <w:r>
              <w:t xml:space="preserve">30 calendar days from the date of this Invoice</w:t>
            </w:r>
          </w:p>
        </w:tc>
      </w:tr>
    </w:tbl>
    <w:bookmarkStart w:id="21" w:name="notes-and-legal-disclaimers"/>
    <w:p>
      <w:pPr>
        <w:pStyle w:val="Heading3"/>
      </w:pPr>
      <w:r>
        <w:t xml:space="preserve">NOTES AND LEGAL DISCLAIMERS</w:t>
      </w:r>
    </w:p>
    <w:p>
      <w:pPr>
        <w:pStyle w:val="FirstParagraph"/>
      </w:pPr>
      <w:r>
        <w:t xml:space="preserve">1. This Invoice is issued in accordance with the applicable regulations governing judicial fees and costs in Spain Barcelona, specifically under the Ley 10/2012, de 20 de noviembre, de Fundamentos del Régimen Local, and the corresponding Catalan autonomous regulations on court costs.</w:t>
      </w:r>
    </w:p>
    <w:p>
      <w:pPr>
        <w:pStyle w:val="BodyText"/>
      </w:pPr>
      <w:r>
        <w:t xml:space="preserve">2. The Judge named in this Invoice, HON. JUDGE MÓNICA A. SERRANO VÍLCHEZ, has rendered all services in strict compliance with the Spanish Constitution (Article 117), the Organic Law of the Judicial Power (LOPJ), and the Code of Conduct for Judges of Spain.</w:t>
      </w:r>
    </w:p>
    <w:p>
      <w:pPr>
        <w:pStyle w:val="BodyText"/>
      </w:pPr>
      <w:r>
        <w:t xml:space="preserve">3. All judicial acts referenced in this Invoice were performed within the territorial jurisdiction of the courts of Spain Barcelona, Autonomous Community of Catalonia. The rulings and proceedings are subject to appeal before the Audiencia Provincial de Barcelona within the statutory period of twenty (20) days from notification.</w:t>
      </w:r>
    </w:p>
    <w:p>
      <w:pPr>
        <w:pStyle w:val="BodyText"/>
      </w:pPr>
      <w:r>
        <w:t xml:space="preserve">4. This Invoice does not constitute a legal opinion. The amounts listed reflect the official tariff rates established for judicial services in the Barcelona judicial district. Any dispute regarding the amounts on this Invoice must be raised in writing to the court registry within fifteen (15) business days of receipt.</w:t>
      </w:r>
    </w:p>
    <w:p>
      <w:pPr>
        <w:pStyle w:val="BodyText"/>
      </w:pPr>
      <w:r>
        <w:t xml:space="preserve">5. The VAT (IVA) applied at 21% is the standard rate applicable in Spain. No exemption or reduced rate applies to the judicial services itemized herein. The taxpayer identification number (NIF/CIF) of the billing party is included for fiscal compliance with the Agencia Estatal de Administración Tributaria (AEAT).</w:t>
      </w:r>
    </w:p>
    <w:p>
      <w:pPr>
        <w:pStyle w:val="BodyText"/>
      </w:pPr>
      <w:r>
        <w:t xml:space="preserve">6. This document is the official Invoice for all judicial services rendered by the Judge in the referenced case. No additional charges will be incurred beyond those listed unless expressly authorized by a subsequent court order. The Judge's office in Spain Barcelona retains the right to issue a corrective Invoice in the event of a clerical error, provided the correction is made within the same fiscal period.</w:t>
      </w:r>
    </w:p>
    <w:p>
      <w:pPr>
        <w:pStyle w:val="BodyText"/>
      </w:pPr>
      <w:r>
        <w:t xml:space="preserve">7. By accepting this Invoice, the billed party acknowledges receipt of all judicial determinations and agrees to the cost allocation as ordered by the Judge in the final judgment. Failure to remit payment by the due date may result in the initiation of enforcement proceedings (procedimiento de apremio) in accordance with Spanish administrative law.</w:t>
      </w:r>
    </w:p>
    <w:bookmarkEnd w:id="21"/>
    <w:p>
      <w:pPr>
        <w:pStyle w:val="BodyText"/>
      </w:pPr>
      <w:r>
        <w:t xml:space="preserve">— OFFICIAL INVOICE — JUDICIAL SERVICES — SPAIN BARCELONA —</w:t>
      </w:r>
      <w:r>
        <w:br/>
      </w:r>
      <w:r>
        <w:t xml:space="preserve">Certified by the Court Registry — Juzgado de Primera Instancia Nº 12, Barcelona</w:t>
      </w:r>
    </w:p>
    <w:p>
      <w:pPr>
        <w:pStyle w:val="BodyText"/>
      </w:pPr>
      <w:r>
        <w:rPr>
          <w:bCs/>
          <w:b/>
        </w:rPr>
        <w:t xml:space="preserve">Issued by:</w:t>
      </w:r>
      <w:r>
        <w:t xml:space="preserve"> </w:t>
      </w:r>
      <w:r>
        <w:t xml:space="preserve">HON. JUDGE MÓNICA A. SERRANO VÍLCHEZ — Judge of First Instance, Court No. 12, Barcelona, Spain</w:t>
      </w:r>
      <w:r>
        <w:br/>
      </w:r>
      <w:r>
        <w:rPr>
          <w:bCs/>
          <w:b/>
        </w:rPr>
        <w:t xml:space="preserve">Registry Seal:</w:t>
      </w:r>
      <w:r>
        <w:t xml:space="preserve"> </w:t>
      </w:r>
      <w:r>
        <w:t xml:space="preserve">Sello del Juzgado — Barcelona, 14/06/2025</w:t>
      </w:r>
      <w:r>
        <w:br/>
      </w:r>
      <w:r>
        <w:rPr>
          <w:bCs/>
          <w:b/>
        </w:rPr>
        <w:t xml:space="preserve">Document ID:</w:t>
      </w:r>
      <w:r>
        <w:t xml:space="preserve"> </w:t>
      </w:r>
      <w:r>
        <w:t xml:space="preserve">INV-JDG-BCN-2025-04872 |</w:t>
      </w:r>
      <w:r>
        <w:t xml:space="preserve"> </w:t>
      </w:r>
      <w:r>
        <w:rPr>
          <w:bCs/>
          <w:b/>
        </w:rPr>
        <w:t xml:space="preserve">Page:</w:t>
      </w:r>
      <w:r>
        <w:t xml:space="preserve"> </w:t>
      </w:r>
      <w:r>
        <w:t xml:space="preserve">1 of 1</w:t>
      </w:r>
      <w:r>
        <w:br/>
      </w:r>
      <w:r>
        <w:br/>
      </w:r>
      <w:r>
        <w:t xml:space="preserve">This Invoice is a legally binding document issued by the judicial authority of Spain Barcelona. For verification, contact the court registry at 933 154 000 or via the electronic portal of the Generalitat de Catalunya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Judge - Spain Barcelona</dc:title>
  <dc:creator/>
  <dc:language>en</dc:language>
  <cp:keywords/>
  <dcterms:created xsi:type="dcterms:W3CDTF">2026-10-10T05:47:36Z</dcterms:created>
  <dcterms:modified xsi:type="dcterms:W3CDTF">2026-10-10T05:47:36Z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