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Madrid,</w:t>
      </w:r>
      <w:r>
        <w:t xml:space="preserve"> </w:t>
      </w:r>
      <w:r>
        <w:t xml:space="preserve">Spain</w:t>
      </w:r>
    </w:p>
    <w:bookmarkStart w:id="20" w:name="invoice"/>
    <w:p>
      <w:pPr>
        <w:pStyle w:val="Heading1"/>
      </w:pPr>
      <w:r>
        <w:t xml:space="preserve">INVOICE</w:t>
      </w:r>
    </w:p>
    <w:p>
      <w:pPr>
        <w:pStyle w:val="FirstParagraph"/>
      </w:pPr>
      <w:r>
        <w:t xml:space="preserve">Factura de Servicios Judiciales | Judicial Services Invoice</w:t>
      </w:r>
    </w:p>
    <w:p>
      <w:pPr>
        <w:pStyle w:val="BodyText"/>
      </w:pPr>
      <w:r>
        <w:t xml:space="preserve">Issued in accordance with Spanish Royal Decree 1619/2012 and the General Tax Law (Ley General Tributaria)</w:t>
      </w:r>
    </w:p>
    <w:bookmarkEnd w:id="20"/>
    <w:p>
      <w:pPr>
        <w:pStyle w:val="BodyText"/>
      </w:pPr>
      <w:r>
        <w:rPr>
          <w:bCs/>
          <w:b/>
        </w:rPr>
        <w:t xml:space="preserve">Invoice Number:</w:t>
      </w:r>
      <w:r>
        <w:t xml:space="preserve"> </w:t>
      </w:r>
      <w:r>
        <w:t xml:space="preserve">INV-2025-MAD-00472</w:t>
      </w:r>
      <w:r>
        <w:br/>
      </w:r>
      <w:r>
        <w:rPr>
          <w:bCs/>
          <w:b/>
        </w:rPr>
        <w:t xml:space="preserve">Date of Issue:</w:t>
      </w:r>
      <w:r>
        <w:t xml:space="preserve"> </w:t>
      </w:r>
      <w:r>
        <w:t xml:space="preserve">14 June 2025</w:t>
      </w:r>
      <w:r>
        <w:br/>
      </w:r>
      <w:r>
        <w:rPr>
          <w:bCs/>
          <w:b/>
        </w:rPr>
        <w:t xml:space="preserve">Due Date:</w:t>
      </w:r>
      <w:r>
        <w:t xml:space="preserve"> </w:t>
      </w:r>
      <w:r>
        <w:t xml:space="preserve">14 July 2025</w:t>
      </w:r>
      <w:r>
        <w:br/>
      </w:r>
      <w:r>
        <w:rPr>
          <w:bCs/>
          <w:b/>
        </w:rPr>
        <w:t xml:space="preserve">Currency:</w:t>
      </w:r>
      <w:r>
        <w:t xml:space="preserve"> </w:t>
      </w:r>
      <w:r>
        <w:t xml:space="preserve">EUR (€)</w:t>
      </w:r>
    </w:p>
    <w:p>
      <w:pPr>
        <w:pStyle w:val="BodyText"/>
      </w:pPr>
      <w:r>
        <w:rPr>
          <w:bCs/>
          <w:b/>
        </w:rPr>
        <w:t xml:space="preserve">Issued By:</w:t>
      </w:r>
      <w:r>
        <w:br/>
      </w:r>
      <w:r>
        <w:t xml:space="preserve">Estudio Jurídico García &amp; Asociados, S.L.</w:t>
      </w:r>
      <w:r>
        <w:br/>
      </w:r>
      <w:r>
        <w:t xml:space="preserve">Calle de Alcalá, 215, 4.º B</w:t>
      </w:r>
      <w:r>
        <w:br/>
      </w:r>
      <w:r>
        <w:t xml:space="preserve">28028 Madrid, Spain</w:t>
      </w:r>
      <w:r>
        <w:br/>
      </w:r>
      <w:r>
        <w:t xml:space="preserve">NIF: B-84729315</w:t>
      </w:r>
      <w:r>
        <w:br/>
      </w:r>
      <w:r>
        <w:t xml:space="preserve">Phone: +34 915 42 87 63</w:t>
      </w:r>
      <w:r>
        <w:br/>
      </w:r>
      <w:r>
        <w:t xml:space="preserve">Email: facturacion@garciaasociados.es</w:t>
      </w:r>
    </w:p>
    <w:p>
      <w:pPr>
        <w:pStyle w:val="BodyText"/>
      </w:pPr>
      <w:r>
        <w:t xml:space="preserve">Billed To (Cliente)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r>
              <w:t xml:space="preserve"> </w:t>
            </w:r>
            <w:r>
              <w:t xml:space="preserve">Doña María Elena Rodríguez Fernández</w:t>
            </w:r>
          </w:p>
        </w:tc>
        <w:tc>
          <w:tcPr/>
          <w:p>
            <w:pPr>
              <w:pStyle w:val="Compact"/>
              <w:jc w:val="left"/>
            </w:pPr>
            <w:r>
              <w:rPr>
                <w:bCs/>
                <w:b/>
              </w:rPr>
              <w:t xml:space="preserve">NIF:</w:t>
            </w:r>
            <w:r>
              <w:t xml:space="preserve"> </w:t>
            </w:r>
            <w:r>
              <w:t xml:space="preserve">48291037-K</w:t>
            </w:r>
          </w:p>
        </w:tc>
      </w:tr>
      <w:tr>
        <w:tc>
          <w:tcPr/>
          <w:p>
            <w:pPr>
              <w:pStyle w:val="Compact"/>
              <w:jc w:val="left"/>
            </w:pPr>
            <w:r>
              <w:rPr>
                <w:bCs/>
                <w:b/>
              </w:rPr>
              <w:t xml:space="preserve">Address:</w:t>
            </w:r>
            <w:r>
              <w:t xml:space="preserve"> </w:t>
            </w:r>
            <w:r>
              <w:t xml:space="preserve">Avenida de América, 89, 3.º C, 28028 Madrid, Spain</w:t>
            </w:r>
          </w:p>
        </w:tc>
        <w:tc>
          <w:tcPr/>
          <w:p>
            <w:pPr>
              <w:pStyle w:val="Compact"/>
              <w:jc w:val="left"/>
            </w:pPr>
            <w:r>
              <w:rPr>
                <w:bCs/>
                <w:b/>
              </w:rPr>
              <w:t xml:space="preserve">Phone:</w:t>
            </w:r>
            <w:r>
              <w:t xml:space="preserve"> </w:t>
            </w:r>
            <w:r>
              <w:t xml:space="preserve">+34 612 34 56 78</w:t>
            </w:r>
          </w:p>
        </w:tc>
      </w:tr>
    </w:tbl>
    <w:p>
      <w:pPr>
        <w:pStyle w:val="BodyText"/>
      </w:pPr>
      <w:r>
        <w:t xml:space="preserve">Judicial Reference &amp; Judge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Court:</w:t>
            </w:r>
            <w:r>
              <w:t xml:space="preserve"> </w:t>
            </w:r>
            <w:r>
              <w:t xml:space="preserve">Juzgado de Primera Instancia n.º 14 de Madrid</w:t>
            </w:r>
          </w:p>
        </w:tc>
        <w:tc>
          <w:tcPr/>
          <w:p>
            <w:pPr>
              <w:pStyle w:val="Compact"/>
              <w:jc w:val="left"/>
            </w:pPr>
            <w:r>
              <w:rPr>
                <w:bCs/>
                <w:b/>
              </w:rPr>
              <w:t xml:space="preserve">Case Number:</w:t>
            </w:r>
            <w:r>
              <w:t xml:space="preserve"> </w:t>
            </w:r>
            <w:r>
              <w:t xml:space="preserve">Procedimiento Ordinario 3421/2024</w:t>
            </w:r>
          </w:p>
        </w:tc>
      </w:tr>
      <w:tr>
        <w:tc>
          <w:tcPr/>
          <w:p>
            <w:pPr>
              <w:pStyle w:val="Compact"/>
              <w:jc w:val="left"/>
            </w:pPr>
            <w:r>
              <w:rPr>
                <w:bCs/>
                <w:b/>
              </w:rPr>
              <w:t xml:space="preserve">Judge (Juez/a):</w:t>
            </w:r>
            <w:r>
              <w:t xml:space="preserve"> </w:t>
            </w:r>
            <w:r>
              <w:t xml:space="preserve">Ilma. Sra. Dña. Carmen Isabel Vega Montoya</w:t>
            </w:r>
          </w:p>
        </w:tc>
        <w:tc>
          <w:tcPr/>
          <w:p>
            <w:pPr>
              <w:pStyle w:val="Compact"/>
              <w:jc w:val="left"/>
            </w:pPr>
            <w:r>
              <w:rPr>
                <w:bCs/>
                <w:b/>
              </w:rPr>
              <w:t xml:space="preserve">Role:</w:t>
            </w:r>
            <w:r>
              <w:t xml:space="preserve"> </w:t>
            </w:r>
            <w:r>
              <w:t xml:space="preserve">Titular del Juzgado (Presiding Judge)</w:t>
            </w:r>
          </w:p>
        </w:tc>
      </w:tr>
      <w:tr>
        <w:tc>
          <w:tcPr/>
          <w:p>
            <w:pPr>
              <w:pStyle w:val="Compact"/>
              <w:jc w:val="left"/>
            </w:pPr>
            <w:r>
              <w:rPr>
                <w:bCs/>
                <w:b/>
              </w:rPr>
              <w:t xml:space="preserve">Proceeding Type:</w:t>
            </w:r>
            <w:r>
              <w:t xml:space="preserve"> </w:t>
            </w:r>
            <w:r>
              <w:t xml:space="preserve">Civil Litigation – Contractual Dispute</w:t>
            </w:r>
          </w:p>
        </w:tc>
        <w:tc>
          <w:tcPr/>
          <w:p>
            <w:pPr>
              <w:pStyle w:val="Compact"/>
              <w:jc w:val="left"/>
            </w:pPr>
            <w:r>
              <w:rPr>
                <w:bCs/>
                <w:b/>
              </w:rPr>
              <w:t xml:space="preserve">Jurisdiction:</w:t>
            </w:r>
            <w:r>
              <w:t xml:space="preserve"> </w:t>
            </w:r>
            <w:r>
              <w:t xml:space="preserve">Madrid, Community of Madrid, Spain</w:t>
            </w:r>
          </w:p>
        </w:tc>
      </w:tr>
      <w:tr>
        <w:tc>
          <w:tcPr/>
          <w:p>
            <w:pPr>
              <w:pStyle w:val="Compact"/>
              <w:jc w:val="left"/>
            </w:pPr>
            <w:r>
              <w:rPr>
                <w:bCs/>
                <w:b/>
              </w:rPr>
              <w:t xml:space="preserve">Legal Basis:</w:t>
            </w:r>
            <w:r>
              <w:t xml:space="preserve"> </w:t>
            </w:r>
            <w:r>
              <w:t xml:space="preserve">Ley de Enjuiciamiento Civil (LEC), Arts. 249–252</w:t>
            </w:r>
          </w:p>
        </w:tc>
        <w:tc>
          <w:tcPr/>
          <w:p>
            <w:pPr>
              <w:pStyle w:val="Compact"/>
              <w:jc w:val="left"/>
            </w:pPr>
            <w:r>
              <w:rPr>
                <w:bCs/>
                <w:b/>
              </w:rPr>
              <w:t xml:space="preserve">Registration:</w:t>
            </w:r>
            <w:r>
              <w:t xml:space="preserve"> </w:t>
            </w:r>
            <w:r>
              <w:t xml:space="preserve">Registro General del Juzgado, 03/02/2025</w:t>
            </w:r>
          </w:p>
        </w:tc>
      </w:tr>
    </w:tbl>
    <w:p>
      <w:pPr>
        <w:pStyle w:val="BodyText"/>
      </w:pPr>
      <w:r>
        <w:t xml:space="preserve">Description of Services Rendered Before the Judge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(€/hr)</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Preparation and filing of the initial statement of claim (escrito de demanda) before Judge Vega Montoya at the Juzgado de Primera Instancia n.º 14 de Madrid, including legal argumentation, evidentiary annexes, and compliance with Article 264 of the LEC.</w:t>
            </w:r>
          </w:p>
        </w:tc>
        <w:tc>
          <w:tcPr/>
          <w:p>
            <w:pPr>
              <w:pStyle w:val="Compact"/>
              <w:jc w:val="left"/>
            </w:pPr>
            <w:r>
              <w:t xml:space="preserve">03/02/2025</w:t>
            </w:r>
          </w:p>
        </w:tc>
        <w:tc>
          <w:tcPr/>
          <w:p>
            <w:pPr>
              <w:pStyle w:val="Compact"/>
              <w:jc w:val="left"/>
            </w:pPr>
            <w:r>
              <w:t xml:space="preserve">18.5</w:t>
            </w:r>
          </w:p>
        </w:tc>
        <w:tc>
          <w:tcPr/>
          <w:p>
            <w:pPr>
              <w:pStyle w:val="Compact"/>
              <w:jc w:val="left"/>
            </w:pPr>
            <w:r>
              <w:t xml:space="preserve">185.00</w:t>
            </w:r>
          </w:p>
        </w:tc>
        <w:tc>
          <w:tcPr/>
          <w:p>
            <w:pPr>
              <w:pStyle w:val="Compact"/>
              <w:jc w:val="left"/>
            </w:pPr>
            <w:r>
              <w:t xml:space="preserve">3,422.50</w:t>
            </w:r>
          </w:p>
        </w:tc>
      </w:tr>
      <w:tr>
        <w:tc>
          <w:tcPr/>
          <w:p>
            <w:pPr>
              <w:pStyle w:val="Compact"/>
              <w:jc w:val="left"/>
            </w:pPr>
            <w:r>
              <w:t xml:space="preserve">02</w:t>
            </w:r>
          </w:p>
        </w:tc>
        <w:tc>
          <w:tcPr/>
          <w:p>
            <w:pPr>
              <w:pStyle w:val="Compact"/>
              <w:jc w:val="left"/>
            </w:pPr>
            <w:r>
              <w:t xml:space="preserve">Representation of the client at the preliminary hearing (vista previa) presided over by the Judge, including oral argumentation, cross-examination of opposing counsel, and submission of supplementary documentary evidence to the court record.</w:t>
            </w:r>
          </w:p>
        </w:tc>
        <w:tc>
          <w:tcPr/>
          <w:p>
            <w:pPr>
              <w:pStyle w:val="Compact"/>
              <w:jc w:val="left"/>
            </w:pPr>
            <w:r>
              <w:t xml:space="preserve">17/03/2025</w:t>
            </w:r>
          </w:p>
        </w:tc>
        <w:tc>
          <w:tcPr/>
          <w:p>
            <w:pPr>
              <w:pStyle w:val="Compact"/>
              <w:jc w:val="left"/>
            </w:pPr>
            <w:r>
              <w:t xml:space="preserve">6.0</w:t>
            </w:r>
          </w:p>
        </w:tc>
        <w:tc>
          <w:tcPr/>
          <w:p>
            <w:pPr>
              <w:pStyle w:val="Compact"/>
              <w:jc w:val="left"/>
            </w:pPr>
            <w:r>
              <w:t xml:space="preserve">185.00</w:t>
            </w:r>
          </w:p>
        </w:tc>
        <w:tc>
          <w:tcPr/>
          <w:p>
            <w:pPr>
              <w:pStyle w:val="Compact"/>
              <w:jc w:val="left"/>
            </w:pPr>
            <w:r>
              <w:t xml:space="preserve">1,110.00</w:t>
            </w:r>
          </w:p>
        </w:tc>
      </w:tr>
      <w:tr>
        <w:tc>
          <w:tcPr/>
          <w:p>
            <w:pPr>
              <w:pStyle w:val="Compact"/>
              <w:jc w:val="left"/>
            </w:pPr>
            <w:r>
              <w:t xml:space="preserve">03</w:t>
            </w:r>
          </w:p>
        </w:tc>
        <w:tc>
          <w:tcPr/>
          <w:p>
            <w:pPr>
              <w:pStyle w:val="Compact"/>
              <w:jc w:val="left"/>
            </w:pPr>
            <w:r>
              <w:t xml:space="preserve">Drafting and submission of the written brief for the main trial (alegaciones para la vista) as ordered by the Judge in the auto de 21/03/2025, incorporating expert witness reports and jurisprudential references from the Tribunal Supremo and the Audiencia Provincial de Madrid.</w:t>
            </w:r>
          </w:p>
        </w:tc>
        <w:tc>
          <w:tcPr/>
          <w:p>
            <w:pPr>
              <w:pStyle w:val="Compact"/>
              <w:jc w:val="left"/>
            </w:pPr>
            <w:r>
              <w:t xml:space="preserve">05/04/2025</w:t>
            </w:r>
          </w:p>
        </w:tc>
        <w:tc>
          <w:tcPr/>
          <w:p>
            <w:pPr>
              <w:pStyle w:val="Compact"/>
              <w:jc w:val="left"/>
            </w:pPr>
            <w:r>
              <w:t xml:space="preserve">22.0</w:t>
            </w:r>
          </w:p>
        </w:tc>
        <w:tc>
          <w:tcPr/>
          <w:p>
            <w:pPr>
              <w:pStyle w:val="Compact"/>
              <w:jc w:val="left"/>
            </w:pPr>
            <w:r>
              <w:t xml:space="preserve">185.00</w:t>
            </w:r>
          </w:p>
        </w:tc>
        <w:tc>
          <w:tcPr/>
          <w:p>
            <w:pPr>
              <w:pStyle w:val="Compact"/>
              <w:jc w:val="left"/>
            </w:pPr>
            <w:r>
              <w:t xml:space="preserve">4,070.00</w:t>
            </w:r>
          </w:p>
        </w:tc>
      </w:tr>
      <w:tr>
        <w:tc>
          <w:tcPr/>
          <w:p>
            <w:pPr>
              <w:pStyle w:val="Compact"/>
              <w:jc w:val="left"/>
            </w:pPr>
            <w:r>
              <w:t xml:space="preserve">04</w:t>
            </w:r>
          </w:p>
        </w:tc>
        <w:tc>
          <w:tcPr/>
          <w:p>
            <w:pPr>
              <w:pStyle w:val="Compact"/>
              <w:jc w:val="left"/>
            </w:pPr>
            <w:r>
              <w:t xml:space="preserve">Attendance and full legal representation at the main trial (vista oral) before Judge Vega Montoya, including examination of three witnesses, presentation of documentary and digital evidence, and final oral submissions (alegaciones orales) in accordance with Article 300 of the LEC.</w:t>
            </w:r>
          </w:p>
        </w:tc>
        <w:tc>
          <w:tcPr/>
          <w:p>
            <w:pPr>
              <w:pStyle w:val="Compact"/>
              <w:jc w:val="left"/>
            </w:pPr>
            <w:r>
              <w:t xml:space="preserve">22/04/2025</w:t>
            </w:r>
          </w:p>
        </w:tc>
        <w:tc>
          <w:tcPr/>
          <w:p>
            <w:pPr>
              <w:pStyle w:val="Compact"/>
              <w:jc w:val="left"/>
            </w:pPr>
            <w:r>
              <w:t xml:space="preserve">8.5</w:t>
            </w:r>
          </w:p>
        </w:tc>
        <w:tc>
          <w:tcPr/>
          <w:p>
            <w:pPr>
              <w:pStyle w:val="Compact"/>
              <w:jc w:val="left"/>
            </w:pPr>
            <w:r>
              <w:t xml:space="preserve">185.00</w:t>
            </w:r>
          </w:p>
        </w:tc>
        <w:tc>
          <w:tcPr/>
          <w:p>
            <w:pPr>
              <w:pStyle w:val="Compact"/>
              <w:jc w:val="left"/>
            </w:pPr>
            <w:r>
              <w:t xml:space="preserve">1,572.50</w:t>
            </w:r>
          </w:p>
        </w:tc>
      </w:tr>
      <w:tr>
        <w:tc>
          <w:tcPr/>
          <w:p>
            <w:pPr>
              <w:pStyle w:val="Compact"/>
              <w:jc w:val="left"/>
            </w:pPr>
            <w:r>
              <w:t xml:space="preserve">05</w:t>
            </w:r>
          </w:p>
        </w:tc>
        <w:tc>
          <w:tcPr/>
          <w:p>
            <w:pPr>
              <w:pStyle w:val="Compact"/>
              <w:jc w:val="left"/>
            </w:pPr>
            <w:r>
              <w:t xml:space="preserve">Post-trial legal analysis, preparation of the appeal brief (recurso de apelación) before the Sección 7.ª de la Audiencia Provincial de Madrid, and coordination with the court registry regarding the Judge's ruling (sentencia) dated 10/05/2025.</w:t>
            </w:r>
          </w:p>
        </w:tc>
        <w:tc>
          <w:tcPr/>
          <w:p>
            <w:pPr>
              <w:pStyle w:val="Compact"/>
              <w:jc w:val="left"/>
            </w:pPr>
            <w:r>
              <w:t xml:space="preserve">12/06/2025</w:t>
            </w:r>
          </w:p>
        </w:tc>
        <w:tc>
          <w:tcPr/>
          <w:p>
            <w:pPr>
              <w:pStyle w:val="Compact"/>
              <w:jc w:val="left"/>
            </w:pPr>
            <w:r>
              <w:t xml:space="preserve">14.0</w:t>
            </w:r>
          </w:p>
        </w:tc>
        <w:tc>
          <w:tcPr/>
          <w:p>
            <w:pPr>
              <w:pStyle w:val="Compact"/>
              <w:jc w:val="left"/>
            </w:pPr>
            <w:r>
              <w:t xml:space="preserve">185.00</w:t>
            </w:r>
          </w:p>
        </w:tc>
        <w:tc>
          <w:tcPr/>
          <w:p>
            <w:pPr>
              <w:pStyle w:val="Compact"/>
              <w:jc w:val="left"/>
            </w:pPr>
            <w:r>
              <w:t xml:space="preserve">2,590.00</w:t>
            </w:r>
          </w:p>
        </w:tc>
      </w:tr>
      <w:tr>
        <w:tc>
          <w:tcPr/>
          <w:p>
            <w:pPr>
              <w:pStyle w:val="Compact"/>
              <w:jc w:val="left"/>
            </w:pPr>
            <w:r>
              <w:t xml:space="preserve">06</w:t>
            </w:r>
          </w:p>
        </w:tc>
        <w:tc>
          <w:tcPr/>
          <w:p>
            <w:pPr>
              <w:pStyle w:val="Compact"/>
              <w:jc w:val="left"/>
            </w:pPr>
            <w:r>
              <w:t xml:space="preserve">Administrative coordination with the Juzgado de Primera Instancia n.º 14 de Madrid: payment of judicial fees (tasas judiciales) on behalf of the client, retrieval of certified copies of the Judge's orders, and management of all electronic filings through the LexNET platform.</w:t>
            </w:r>
          </w:p>
        </w:tc>
        <w:tc>
          <w:tcPr/>
          <w:p>
            <w:pPr>
              <w:pStyle w:val="Compact"/>
              <w:jc w:val="left"/>
            </w:pPr>
            <w:r>
              <w:t xml:space="preserve">Various</w:t>
            </w:r>
          </w:p>
        </w:tc>
        <w:tc>
          <w:tcPr/>
          <w:p>
            <w:pPr>
              <w:pStyle w:val="Compact"/>
              <w:jc w:val="left"/>
            </w:pPr>
            <w:r>
              <w:t xml:space="preserve">4.5</w:t>
            </w:r>
          </w:p>
        </w:tc>
        <w:tc>
          <w:tcPr/>
          <w:p>
            <w:pPr>
              <w:pStyle w:val="Compact"/>
              <w:jc w:val="left"/>
            </w:pPr>
            <w:r>
              <w:t xml:space="preserve">185.00</w:t>
            </w:r>
          </w:p>
        </w:tc>
        <w:tc>
          <w:tcPr/>
          <w:p>
            <w:pPr>
              <w:pStyle w:val="Compact"/>
              <w:jc w:val="left"/>
            </w:pPr>
            <w:r>
              <w:t xml:space="preserve">832.50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(Base Imponible)</w:t>
            </w:r>
          </w:p>
        </w:tc>
        <w:tc>
          <w:tcPr/>
          <w:p>
            <w:pPr>
              <w:pStyle w:val="Compact"/>
              <w:jc w:val="left"/>
            </w:pPr>
            <w:r>
              <w:t xml:space="preserve">€ 13,597.50</w:t>
            </w:r>
          </w:p>
        </w:tc>
      </w:tr>
      <w:tr>
        <w:tc>
          <w:tcPr/>
          <w:p>
            <w:pPr>
              <w:pStyle w:val="Compact"/>
              <w:jc w:val="left"/>
            </w:pPr>
            <w:r>
              <w:t xml:space="preserve">VAT / IVA (21%)</w:t>
            </w:r>
          </w:p>
        </w:tc>
        <w:tc>
          <w:tcPr/>
          <w:p>
            <w:pPr>
              <w:pStyle w:val="Compact"/>
              <w:jc w:val="left"/>
            </w:pPr>
            <w:r>
              <w:t xml:space="preserve">€ 2,855.48</w:t>
            </w:r>
          </w:p>
        </w:tc>
      </w:tr>
      <w:tr>
        <w:tc>
          <w:tcPr/>
          <w:p>
            <w:pPr>
              <w:pStyle w:val="Compact"/>
              <w:jc w:val="left"/>
            </w:pPr>
            <w:r>
              <w:t xml:space="preserve">Judicial Fees (Tasas Judiciales) – Art. 130 LEC</w:t>
            </w:r>
          </w:p>
        </w:tc>
        <w:tc>
          <w:tcPr/>
          <w:p>
            <w:pPr>
              <w:pStyle w:val="Compact"/>
              <w:jc w:val="left"/>
            </w:pPr>
            <w:r>
              <w:t xml:space="preserve">€ 486.00</w:t>
            </w:r>
          </w:p>
        </w:tc>
      </w:tr>
      <w:tr>
        <w:tc>
          <w:tcPr/>
          <w:p>
            <w:pPr>
              <w:pStyle w:val="Compact"/>
              <w:jc w:val="left"/>
            </w:pPr>
            <w:r>
              <w:t xml:space="preserve">TOTAL AMOUNT DUE</w:t>
            </w:r>
          </w:p>
        </w:tc>
        <w:tc>
          <w:tcPr/>
          <w:p>
            <w:pPr>
              <w:pStyle w:val="Compact"/>
              <w:jc w:val="left"/>
            </w:pPr>
            <w:r>
              <w:t xml:space="preserve">€ 16,938.98</w:t>
            </w:r>
          </w:p>
        </w:tc>
      </w:tr>
    </w:tbl>
    <w:p>
      <w:pPr>
        <w:pStyle w:val="BodyText"/>
      </w:pPr>
      <w:r>
        <w:t xml:space="preserve">Payment Terms &amp; Instructions</w:t>
      </w:r>
    </w:p>
    <w:p>
      <w:pPr>
        <w:pStyle w:val="BodyText"/>
      </w:pPr>
      <w:r>
        <w:t xml:space="preserve">Payment is due within thirty (30) calendar days from the date of issue, in accordance with Article 15 of the Ley 3/2004 on Invoicing (Ley de Facturación). The total amount of</w:t>
      </w:r>
      <w:r>
        <w:t xml:space="preserve"> </w:t>
      </w:r>
      <w:r>
        <w:rPr>
          <w:bCs/>
          <w:b/>
        </w:rPr>
        <w:t xml:space="preserve">€ 16,938.98</w:t>
      </w:r>
      <w:r>
        <w:t xml:space="preserve"> </w:t>
      </w:r>
      <w:r>
        <w:t xml:space="preserve">shall be remitted via bank transfer to the following account held at Banco Santander, S.A., Madrid branch:</w:t>
      </w:r>
    </w:p>
    <w:p>
      <w:pPr>
        <w:pStyle w:val="BodyText"/>
      </w:pPr>
      <w:r>
        <w:rPr>
          <w:bCs/>
          <w:b/>
        </w:rPr>
        <w:t xml:space="preserve">IBAN:</w:t>
      </w:r>
      <w:r>
        <w:t xml:space="preserve"> </w:t>
      </w:r>
      <w:r>
        <w:t xml:space="preserve">ES91 0049 0001 5320 0000 1234  | </w:t>
      </w:r>
      <w:r>
        <w:t xml:space="preserve"> </w:t>
      </w:r>
      <w:r>
        <w:rPr>
          <w:bCs/>
          <w:b/>
        </w:rPr>
        <w:t xml:space="preserve">BIC/SWIFT:</w:t>
      </w:r>
      <w:r>
        <w:t xml:space="preserve"> </w:t>
      </w:r>
      <w:r>
        <w:t xml:space="preserve">BSABESMMLPA</w:t>
      </w:r>
      <w:r>
        <w:br/>
      </w:r>
      <w:r>
        <w:rPr>
          <w:bCs/>
          <w:b/>
        </w:rPr>
        <w:t xml:space="preserve">Reference:</w:t>
      </w:r>
      <w:r>
        <w:t xml:space="preserve"> </w:t>
      </w:r>
      <w:r>
        <w:t xml:space="preserve">INV-2025-MAD-00472 / Proc. 3421/2024</w:t>
      </w:r>
    </w:p>
    <w:p>
      <w:pPr>
        <w:pStyle w:val="BodyText"/>
      </w:pPr>
      <w:r>
        <w:t xml:space="preserve">In the event of late payment, interest shall accrue at the rate established by Article 20 of Ley 3/2004, as amended, plus a fixed indemnity of €40 per invoice in accordance with Article 20.2. The client may exercise the right of set-off only insofar as permitted under Spanish civil law (Código Civil, Arts. 1195–1201).</w:t>
      </w:r>
    </w:p>
    <w:p>
      <w:pPr>
        <w:pStyle w:val="BodyText"/>
      </w:pPr>
      <w:r>
        <w:t xml:space="preserve">Certification &amp; Legal Declarations</w:t>
      </w:r>
    </w:p>
    <w:p>
      <w:pPr>
        <w:pStyle w:val="BodyText"/>
      </w:pPr>
      <w:r>
        <w:t xml:space="preserve">This invoice is issued in compliance with the requirements set forth in Article 6 of Royal Decree 1619/2012, of 30 December, and Article 101 of the Ley 58/2003, General Tax Law (Ley General Tributaria). All services described herein were rendered in the capacity of legal representation before the Honorable Judge Dña. Carmen Isabel Vega Montoya, Titular del Juzgado de Primera Instancia n.º 14 de Madrid, within the judicial district of the Community of Madrid, Spain. The firm confirms that no conflict of interest exists and that all professional duties have been discharged in accordance with the Estatuto General de la Abogacía Española and the Código Deontológico del Ilustre Colegio de la Abogacía de Madrid (ICAM).</w:t>
      </w:r>
    </w:p>
    <w:p>
      <w:pPr>
        <w:pStyle w:val="BodyText"/>
      </w:pPr>
      <w:r>
        <w:rPr>
          <w:bCs/>
          <w:b/>
        </w:rPr>
        <w:t xml:space="preserve">Important Notice:</w:t>
      </w:r>
      <w:r>
        <w:t xml:space="preserve"> </w:t>
      </w:r>
      <w:r>
        <w:t xml:space="preserve">This invoice constitutes a valid tax document under Spanish law. The judicial fees (tasas judiciales) listed are non-refundable and are paid directly to the Treasury of the State (Tesorería General de la Seguridad Social) as mandated by Article 130 of the Ley de Enjuiciamiento Civil. The Judge referenced in this document acts in an official judicial capacity within the Spanish public court system and is not a party to this commercial transaction. This invoice does not constitute legal advice regarding the merits of the underlying case. For disputes arising from this invoice, the competent courts shall be those of Madrid, Spain, with express waiver of any other jurisdiction.</w:t>
      </w:r>
    </w:p>
    <w:p>
      <w:pPr>
        <w:pStyle w:val="BodyText"/>
      </w:pPr>
      <w:r>
        <w:t xml:space="preserve">Estudio Jurídico García &amp; Asociados, S.L. | Registered in the Mercantile Registry of Madrid, Volume 4,218, Folio 112, Sheet M-89,432</w:t>
      </w:r>
      <w:r>
        <w:br/>
      </w:r>
      <w:r>
        <w:t xml:space="preserve">ICAM Registration: 112.847 | Tax Office (AEAT) Registration: B-84729315</w:t>
      </w:r>
      <w:r>
        <w:br/>
      </w:r>
      <w:r>
        <w:t xml:space="preserve">This document was generated electronically on 14/06/2025 and is valid without a physical signature in accordance with Article 6.1 of RD 1619/2012.</w:t>
      </w:r>
      <w:r>
        <w:br/>
      </w:r>
      <w:r>
        <w:rPr>
          <w:iCs/>
          <w:i/>
        </w:rPr>
        <w:t xml:space="preserve">Madrid, Spain – Capital of the Community of Madrid – Kingdom of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Services - Madrid, Spain</dc:title>
  <dc:creator/>
  <dc:language>en</dc:language>
  <cp:keywords/>
  <dcterms:created xsi:type="dcterms:W3CDTF">2026-10-10T07:28:40Z</dcterms:created>
  <dcterms:modified xsi:type="dcterms:W3CDTF">2026-10-10T07:28:40Z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