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invoice"/>
    <w:p>
      <w:pPr>
        <w:pStyle w:val="Heading1"/>
      </w:pPr>
      <w:r>
        <w:t xml:space="preserve">INVOICE</w:t>
      </w:r>
    </w:p>
    <w:p>
      <w:pPr>
        <w:pStyle w:val="FirstParagraph"/>
      </w:pPr>
      <w:r>
        <w:t xml:space="preserve">Judicial &amp; Legal Advisory Services — Republic of Turkey, Istanbul</w:t>
      </w:r>
    </w:p>
    <w:p>
      <w:pPr>
        <w:pStyle w:val="BodyText"/>
      </w:pPr>
      <w:r>
        <w:t xml:space="preserve">Document Reference: INV-IST-2025-0047 | Issued under the Turkish Commercial Code (Türk Ticaret Kanunu)</w:t>
      </w:r>
    </w:p>
    <w:bookmarkEnd w:id="20"/>
    <w:bookmarkStart w:id="21" w:name="issued-by-service-provider"/>
    <w:p>
      <w:pPr>
        <w:pStyle w:val="Heading3"/>
      </w:pPr>
      <w:r>
        <w:t xml:space="preserve">Issued By (Service Provider)</w:t>
      </w:r>
    </w:p>
    <w:p>
      <w:pPr>
        <w:pStyle w:val="FirstParagraph"/>
      </w:pPr>
      <w:r>
        <w:rPr>
          <w:bCs/>
          <w:b/>
        </w:rPr>
        <w:t xml:space="preserve">Meridian Judicial Consulting LLP</w:t>
      </w:r>
    </w:p>
    <w:p>
      <w:pPr>
        <w:pStyle w:val="BodyText"/>
      </w:pPr>
      <w:r>
        <w:t xml:space="preserve">Address: Levent Business District, Büyükdere Caddesi No. 255, Kat 12</w:t>
      </w:r>
    </w:p>
    <w:p>
      <w:pPr>
        <w:pStyle w:val="BodyText"/>
      </w:pPr>
      <w:r>
        <w:t xml:space="preserve">34394 Şişli / Istanbul, Turkey</w:t>
      </w:r>
    </w:p>
    <w:p>
      <w:pPr>
        <w:pStyle w:val="BodyText"/>
      </w:pPr>
      <w:r>
        <w:t xml:space="preserve">Tax ID (VKN): 1234567890</w:t>
      </w:r>
    </w:p>
    <w:p>
      <w:pPr>
        <w:pStyle w:val="BodyText"/>
      </w:pPr>
      <w:r>
        <w:t xml:space="preserve">Phone: +90 212 555 0147</w:t>
      </w:r>
    </w:p>
    <w:p>
      <w:pPr>
        <w:pStyle w:val="BodyText"/>
      </w:pPr>
      <w:r>
        <w:t xml:space="preserve">Email: billing@meridianjudicial.com.tr</w:t>
      </w:r>
    </w:p>
    <w:bookmarkEnd w:id="21"/>
    <w:bookmarkStart w:id="22" w:name="billed-to-recipient"/>
    <w:p>
      <w:pPr>
        <w:pStyle w:val="Heading3"/>
      </w:pPr>
      <w:r>
        <w:t xml:space="preserve">Billed To (Recipient)</w:t>
      </w:r>
    </w:p>
    <w:p>
      <w:pPr>
        <w:pStyle w:val="FirstParagraph"/>
      </w:pPr>
      <w:r>
        <w:rPr>
          <w:bCs/>
          <w:b/>
        </w:rPr>
        <w:t xml:space="preserve">Honorable Judge Ahmet Yılmaz</w:t>
      </w:r>
    </w:p>
    <w:p>
      <w:pPr>
        <w:pStyle w:val="BodyText"/>
      </w:pPr>
      <w:r>
        <w:t xml:space="preserve">Presiding Judge, Istanbul 14th Civil Court of First Instance</w:t>
      </w:r>
    </w:p>
    <w:p>
      <w:pPr>
        <w:pStyle w:val="BodyText"/>
      </w:pPr>
      <w:r>
        <w:t xml:space="preserve">Address: Istanbul Justice Palace (Adalet Sarayı), Kat 4</w:t>
      </w:r>
    </w:p>
    <w:p>
      <w:pPr>
        <w:pStyle w:val="BodyText"/>
      </w:pPr>
      <w:r>
        <w:t xml:space="preserve">34000 Fatih / Istanbul, Turkey</w:t>
      </w:r>
    </w:p>
    <w:p>
      <w:pPr>
        <w:pStyle w:val="BodyText"/>
      </w:pPr>
      <w:r>
        <w:t xml:space="preserve">Official Reference: IST-14-CV-2025-3321</w:t>
      </w:r>
    </w:p>
    <w:p>
      <w:pPr>
        <w:pStyle w:val="BodyText"/>
      </w:pPr>
      <w:r>
        <w:t xml:space="preserve">Phone: +90 212 694 0000 (Court Switchboard)</w:t>
      </w:r>
    </w:p>
    <w:bookmarkEnd w:id="22"/>
    <w:p>
      <w:pPr>
        <w:pStyle w:val="BodyText"/>
      </w:pPr>
      <w:r>
        <w:rPr>
          <w:bCs/>
          <w:b/>
        </w:rPr>
        <w:t xml:space="preserve">Invoice Number:</w:t>
      </w:r>
      <w:r>
        <w:t xml:space="preserve"> </w:t>
      </w:r>
      <w:r>
        <w:t xml:space="preserve">INV-IST-2025-0047</w:t>
      </w:r>
    </w:p>
    <w:p>
      <w:pPr>
        <w:pStyle w:val="BodyText"/>
      </w:pPr>
      <w:r>
        <w:rPr>
          <w:bCs/>
          <w:b/>
        </w:rPr>
        <w:t xml:space="preserve">Date of Issue:</w:t>
      </w:r>
      <w:r>
        <w:t xml:space="preserve"> </w:t>
      </w:r>
      <w:r>
        <w:t xml:space="preserve">15 June 2025</w:t>
      </w:r>
    </w:p>
    <w:p>
      <w:pPr>
        <w:pStyle w:val="BodyText"/>
      </w:pPr>
      <w:r>
        <w:rPr>
          <w:bCs/>
          <w:b/>
        </w:rPr>
        <w:t xml:space="preserve">Service Period:</w:t>
      </w:r>
      <w:r>
        <w:t xml:space="preserve"> </w:t>
      </w:r>
      <w:r>
        <w:t xml:space="preserve">1 March 2025 – 31 May 2025</w:t>
      </w:r>
    </w:p>
    <w:p>
      <w:pPr>
        <w:pStyle w:val="BodyText"/>
      </w:pPr>
      <w:r>
        <w:rPr>
          <w:bCs/>
          <w:b/>
        </w:rPr>
        <w:t xml:space="preserve">Due Date:</w:t>
      </w:r>
      <w:r>
        <w:t xml:space="preserve"> </w:t>
      </w:r>
      <w:r>
        <w:t xml:space="preserve">15 July 2025 (30 days from issue)</w:t>
      </w:r>
    </w:p>
    <w:p>
      <w:pPr>
        <w:pStyle w:val="BodyText"/>
      </w:pPr>
      <w:r>
        <w:rPr>
          <w:bCs/>
          <w:b/>
        </w:rPr>
        <w:t xml:space="preserve">Currency:</w:t>
      </w:r>
      <w:r>
        <w:t xml:space="preserve"> </w:t>
      </w:r>
      <w:r>
        <w:t xml:space="preserve">Turkish Lira (TRY / TL)</w:t>
      </w:r>
    </w:p>
    <w:p>
      <w:pPr>
        <w:pStyle w:val="BodyText"/>
      </w:pPr>
      <w:r>
        <w:rPr>
          <w:bCs/>
          <w:b/>
        </w:rPr>
        <w:t xml:space="preserve">Payment Method:</w:t>
      </w:r>
      <w:r>
        <w:t xml:space="preserve"> </w:t>
      </w:r>
      <w:r>
        <w:t xml:space="preserve">Bank Transfer (IBAN: TR12 0006 4000 0011 2345 6789 01)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Rendered</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Preparation of comprehensive legal memorandum for Judge Yılmaz regarding the interpretation of Article 118 of the Turkish Code of Civil Procedure (HMK) in relation to the ongoing commercial dispute case No. 2025/1847. The memorandum included comparative analysis of European Court of Human Rights precedents applicable in the Istanbul jurisdiction.</w:t>
            </w:r>
          </w:p>
        </w:tc>
        <w:tc>
          <w:tcPr/>
          <w:p>
            <w:pPr>
              <w:pStyle w:val="Compact"/>
              <w:jc w:val="left"/>
            </w:pPr>
            <w:r>
              <w:t xml:space="preserve">05 Mar 2025</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On-site consultation at the Istanbul Justice Palace (Fatih District) to assist the presiding Judge in reviewing evidentiary submissions from both parties in the labor arbitration matter. Included drafting of a preliminary ruling framework and procedural timeline recommendations aligned with the Istanbul Court of First Instance regulations.</w:t>
            </w:r>
          </w:p>
        </w:tc>
        <w:tc>
          <w:tcPr/>
          <w:p>
            <w:pPr>
              <w:pStyle w:val="Compact"/>
              <w:jc w:val="left"/>
            </w:pPr>
            <w:r>
              <w:t xml:space="preserve">18 Mar 2025</w:t>
            </w:r>
          </w:p>
        </w:tc>
        <w:tc>
          <w:tcPr/>
          <w:p>
            <w:pPr>
              <w:pStyle w:val="Compact"/>
              <w:jc w:val="left"/>
            </w:pPr>
            <w:r>
              <w:t xml:space="preserve">8</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Translation and certification of 340 pages of foreign-language expert witness reports (German and English) for the Judge's review in the cross-border intellectual property case. All documents were notarized in Istanbul and stamped in accordance with the Turkish Notary Law (Noterlik Kanunu, Law No. 5070).</w:t>
            </w:r>
          </w:p>
        </w:tc>
        <w:tc>
          <w:tcPr/>
          <w:p>
            <w:pPr>
              <w:pStyle w:val="Compact"/>
              <w:jc w:val="left"/>
            </w:pPr>
            <w:r>
              <w:t xml:space="preserve">02 Apr 2025</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Attendance and advisory support at the Istanbul 14th Civil Court hearing on 22 April 2025. Provided the Judge with real-time legal research on Turkish Commercial Code provisions (TCK) relevant to the shareholder derivative action. Post-hearing summary and recommended procedural steps delivered within 48 hours.</w:t>
            </w:r>
          </w:p>
        </w:tc>
        <w:tc>
          <w:tcPr/>
          <w:p>
            <w:pPr>
              <w:pStyle w:val="Compact"/>
              <w:jc w:val="left"/>
            </w:pPr>
            <w:r>
              <w:t xml:space="preserve">22 Apr 2025</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Drafting of the final judgment framework and reasoning structure for the Judge's decision in case No. 2025/1847. The document incorporated references to the Istanbul Court of Appeals (İstanbul Bölge Adliye Mahkemesi) precedent database and the Supreme Court of Turkey (Yargıtay) rulings from 2023–2025. Delivered in both Turkish and English for the Judge's bilingual case file.</w:t>
            </w:r>
          </w:p>
        </w:tc>
        <w:tc>
          <w:tcPr/>
          <w:p>
            <w:pPr>
              <w:pStyle w:val="Compact"/>
              <w:jc w:val="left"/>
            </w:pPr>
            <w:r>
              <w:t xml:space="preserve">10 May 2025</w:t>
            </w:r>
          </w:p>
        </w:tc>
        <w:tc>
          <w:tcPr/>
          <w:p>
            <w:pPr>
              <w:pStyle w:val="Compact"/>
              <w:jc w:val="left"/>
            </w:pPr>
            <w:r>
              <w:t xml:space="preserve">16</w:t>
            </w:r>
          </w:p>
        </w:tc>
        <w:tc>
          <w:tcPr/>
          <w:p>
            <w:pPr>
              <w:pStyle w:val="Compact"/>
              <w:jc w:val="left"/>
            </w:pPr>
            <w:r>
              <w:t xml:space="preserve">1,850.00</w:t>
            </w:r>
          </w:p>
        </w:tc>
        <w:tc>
          <w:tcPr/>
          <w:p>
            <w:pPr>
              <w:pStyle w:val="Compact"/>
              <w:jc w:val="left"/>
            </w:pPr>
            <w:r>
              <w:t xml:space="preserve">29,600.00</w:t>
            </w:r>
          </w:p>
        </w:tc>
      </w:tr>
      <w:tr>
        <w:tc>
          <w:tcPr/>
          <w:p>
            <w:pPr>
              <w:pStyle w:val="Compact"/>
              <w:jc w:val="left"/>
            </w:pPr>
            <w:r>
              <w:t xml:space="preserve">06</w:t>
            </w:r>
          </w:p>
        </w:tc>
        <w:tc>
          <w:tcPr/>
          <w:p>
            <w:pPr>
              <w:pStyle w:val="Compact"/>
              <w:jc w:val="left"/>
            </w:pPr>
            <w:r>
              <w:t xml:space="preserve">Administrative support: filing of court documents at the Istanbul Central Registry, coordination with the Istanbul Bar Association (İstanbul Barosu) for witness scheduling, and preparation of the case closure checklist in compliance with the Turkish Judiciary Law (Hakimler ve Savcılar Kanunu, Law No. 2802).</w:t>
            </w:r>
          </w:p>
        </w:tc>
        <w:tc>
          <w:tcPr/>
          <w:p>
            <w:pPr>
              <w:pStyle w:val="Compact"/>
              <w:jc w:val="left"/>
            </w:pPr>
            <w:r>
              <w:t xml:space="preserve">28 May 2025</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116,300.00 TRY</w:t>
            </w:r>
          </w:p>
        </w:tc>
      </w:tr>
      <w:tr>
        <w:tc>
          <w:tcPr/>
          <w:p>
            <w:pPr>
              <w:pStyle w:val="Compact"/>
              <w:jc w:val="left"/>
            </w:pPr>
            <w:r>
              <w:t xml:space="preserve">VAT (KDV) — 20%</w:t>
            </w:r>
          </w:p>
        </w:tc>
        <w:tc>
          <w:tcPr/>
          <w:p>
            <w:pPr>
              <w:pStyle w:val="Compact"/>
              <w:jc w:val="right"/>
            </w:pPr>
            <w:r>
              <w:t xml:space="preserve">23,260.00 TRY</w:t>
            </w:r>
          </w:p>
        </w:tc>
      </w:tr>
      <w:tr>
        <w:tc>
          <w:tcPr/>
          <w:p>
            <w:pPr>
              <w:pStyle w:val="Compact"/>
              <w:jc w:val="left"/>
            </w:pPr>
            <w:r>
              <w:t xml:space="preserve">Withholding Tax (Stopaj) — 5%</w:t>
            </w:r>
          </w:p>
        </w:tc>
        <w:tc>
          <w:tcPr/>
          <w:p>
            <w:pPr>
              <w:pStyle w:val="Compact"/>
              <w:jc w:val="right"/>
            </w:pPr>
            <w:r>
              <w:t xml:space="preserve">5,815.00 TRY</w:t>
            </w:r>
          </w:p>
        </w:tc>
      </w:tr>
      <w:tr>
        <w:tc>
          <w:tcPr/>
          <w:p>
            <w:pPr>
              <w:pStyle w:val="Compact"/>
              <w:jc w:val="left"/>
            </w:pPr>
            <w:r>
              <w:t xml:space="preserve">GRAND TOTAL (Net Payable)</w:t>
            </w:r>
          </w:p>
        </w:tc>
        <w:tc>
          <w:tcPr/>
          <w:p>
            <w:pPr>
              <w:pStyle w:val="Compact"/>
              <w:jc w:val="right"/>
            </w:pPr>
            <w:r>
              <w:t xml:space="preserve">133,745.00 TRY</w:t>
            </w:r>
          </w:p>
        </w:tc>
      </w:tr>
    </w:tbl>
    <w:bookmarkStart w:id="23" w:name="important-notes-terms"/>
    <w:p>
      <w:pPr>
        <w:pStyle w:val="Heading3"/>
      </w:pPr>
      <w:r>
        <w:t xml:space="preserve">Important Notes &amp; Terms</w:t>
      </w:r>
    </w:p>
    <w:p>
      <w:pPr>
        <w:numPr>
          <w:ilvl w:val="0"/>
          <w:numId w:val="1001"/>
        </w:numPr>
        <w:pStyle w:val="Compact"/>
      </w:pPr>
      <w:r>
        <w:t xml:space="preserve">This</w:t>
      </w:r>
      <w:r>
        <w:t xml:space="preserve"> </w:t>
      </w:r>
      <w:r>
        <w:t xml:space="preserve">Invoice</w:t>
      </w:r>
      <w:r>
        <w:t xml:space="preserve"> </w:t>
      </w:r>
      <w:r>
        <w:t xml:space="preserve">is issued in accordance with the Turkish Accounting Law (6102 sayılı Türk Ticaret Kanunu) and the General Communiqué on Invoices (Fatura Genel Tebliği) published by the Republic of Turkey Ministry of Finance. All services described herein were rendered in support of the judicial proceedings overseen by the</w:t>
      </w:r>
      <w:r>
        <w:t xml:space="preserve"> </w:t>
      </w:r>
      <w:r>
        <w:t xml:space="preserve">Judge</w:t>
      </w:r>
      <w:r>
        <w:t xml:space="preserve"> </w:t>
      </w:r>
      <w:r>
        <w:t xml:space="preserve">of the Istanbul 14th Civil Court of First Instance.</w:t>
      </w:r>
    </w:p>
    <w:p>
      <w:pPr>
        <w:numPr>
          <w:ilvl w:val="0"/>
          <w:numId w:val="1001"/>
        </w:numPr>
        <w:pStyle w:val="Compact"/>
      </w:pPr>
      <w:r>
        <w:t xml:space="preserve">The</w:t>
      </w:r>
      <w:r>
        <w:t xml:space="preserve"> </w:t>
      </w:r>
      <w:r>
        <w:t xml:space="preserve">Judge</w:t>
      </w:r>
      <w:r>
        <w:t xml:space="preserve"> </w:t>
      </w:r>
      <w:r>
        <w:t xml:space="preserve">or the Istanbul Court Administration is not liable for payment of this invoice until the final judgment in the referenced case has been entered into the official Istanbul court registry. Payment shall be processed through the Istanbul Provincial Treasury (İstanbul Defterdarlığı) within the stated due date.</w:t>
      </w:r>
    </w:p>
    <w:p>
      <w:pPr>
        <w:numPr>
          <w:ilvl w:val="0"/>
          <w:numId w:val="1001"/>
        </w:numPr>
        <w:pStyle w:val="Compact"/>
      </w:pPr>
      <w:r>
        <w:t xml:space="preserve">All services were performed within the jurisdiction of</w:t>
      </w:r>
      <w:r>
        <w:t xml:space="preserve"> </w:t>
      </w:r>
      <w:r>
        <w:t xml:space="preserve">Turkey Istanbul</w:t>
      </w:r>
      <w:r>
        <w:t xml:space="preserve">, specifically at the Istanbul Justice Palace and the Levent Business District offices. No services were rendered outside the metropolitan boundaries of Istanbul, Turkey.</w:t>
      </w:r>
    </w:p>
    <w:p>
      <w:pPr>
        <w:numPr>
          <w:ilvl w:val="0"/>
          <w:numId w:val="1001"/>
        </w:numPr>
        <w:pStyle w:val="Compact"/>
      </w:pPr>
      <w:r>
        <w:t xml:space="preserve">The</w:t>
      </w:r>
      <w:r>
        <w:t xml:space="preserve"> </w:t>
      </w:r>
      <w:r>
        <w:t xml:space="preserve">Invoice</w:t>
      </w:r>
      <w:r>
        <w:t xml:space="preserve"> </w:t>
      </w:r>
      <w:r>
        <w:t xml:space="preserve">number INV-IST-2025-0047 is registered in the electronic invoicing system (e-Fatura) of the Turkish Revenue Administration (Gelir İdaresi Başkanlığı). A digital copy is available upon request via the e-Devlet portal.</w:t>
      </w:r>
    </w:p>
    <w:p>
      <w:pPr>
        <w:numPr>
          <w:ilvl w:val="0"/>
          <w:numId w:val="1001"/>
        </w:numPr>
        <w:pStyle w:val="Compact"/>
      </w:pPr>
      <w:r>
        <w:t xml:space="preserve">Any dispute arising from this</w:t>
      </w:r>
      <w:r>
        <w:t xml:space="preserve"> </w:t>
      </w:r>
      <w:r>
        <w:t xml:space="preserve">Invoice</w:t>
      </w:r>
      <w:r>
        <w:t xml:space="preserve"> </w:t>
      </w:r>
      <w:r>
        <w:t xml:space="preserve">shall be subject to the exclusive jurisdiction of the Istanbul Commercial Courts (İstanbul Ticaret Mahkemeleri) in accordance with Turkish civil procedure law.</w:t>
      </w:r>
    </w:p>
    <w:p>
      <w:pPr>
        <w:numPr>
          <w:ilvl w:val="0"/>
          <w:numId w:val="1001"/>
        </w:numPr>
        <w:pStyle w:val="Compact"/>
      </w:pPr>
      <w:r>
        <w:t xml:space="preserve">This document constitutes a binding financial record for the</w:t>
      </w:r>
      <w:r>
        <w:t xml:space="preserve"> </w:t>
      </w:r>
      <w:r>
        <w:t xml:space="preserve">Judge</w:t>
      </w:r>
      <w:r>
        <w:t xml:space="preserve">'s case file and must be retained for a minimum of ten (10) years as per Turkish tax and judicial record-keeping regulations.</w:t>
      </w:r>
    </w:p>
    <w:bookmarkEnd w:id="23"/>
    <w:p>
      <w:pPr>
        <w:pStyle w:val="FirstParagraph"/>
      </w:pPr>
      <w:r>
        <w:t xml:space="preserve">[ OFFICIAL STAMP — Meridian Judicial Consulting LLP, Istanbul, Turkey ]</w:t>
      </w:r>
      <w:r>
        <w:br/>
      </w:r>
      <w:r>
        <w:t xml:space="preserve">[ AUTHORIZED SIGNATORY: Dr. Elif Kaya, Managing Partner ]</w:t>
      </w:r>
      <w:r>
        <w:br/>
      </w:r>
      <w:r>
        <w:t xml:space="preserve">[ DATE: 15 June 2025 ]</w:t>
      </w:r>
    </w:p>
    <w:p>
      <w:pPr>
        <w:pStyle w:val="BodyText"/>
      </w:pPr>
      <w:r>
        <w:rPr>
          <w:bCs/>
          <w:b/>
        </w:rPr>
        <w:t xml:space="preserve">Meridian Judicial Consulting LLP</w:t>
      </w:r>
      <w:r>
        <w:t xml:space="preserve"> </w:t>
      </w:r>
      <w:r>
        <w:t xml:space="preserve">— Levent, Istanbul, Turkey | VKN: 1234567890 | e-Fatura Registered</w:t>
      </w:r>
    </w:p>
    <w:p>
      <w:pPr>
        <w:pStyle w:val="BodyText"/>
      </w:pPr>
      <w:r>
        <w:t xml:space="preserve">This</w:t>
      </w:r>
      <w:r>
        <w:t xml:space="preserve"> </w:t>
      </w:r>
      <w:r>
        <w:t xml:space="preserve">Invoice</w:t>
      </w:r>
      <w:r>
        <w:t xml:space="preserve"> </w:t>
      </w:r>
      <w:r>
        <w:t xml:space="preserve">was prepared for the official use of the</w:t>
      </w:r>
      <w:r>
        <w:t xml:space="preserve"> </w:t>
      </w:r>
      <w:r>
        <w:t xml:space="preserve">Judge</w:t>
      </w:r>
      <w:r>
        <w:t xml:space="preserve"> </w:t>
      </w:r>
      <w:r>
        <w:t xml:space="preserve">presiding at the Istanbul 14th Civil Court of First Instance, Republic of</w:t>
      </w:r>
      <w:r>
        <w:t xml:space="preserve"> </w:t>
      </w:r>
      <w:r>
        <w:t xml:space="preserve">Turkey</w:t>
      </w:r>
      <w:r>
        <w:t xml:space="preserve">, Istanbul. Unauthorized reproduction or distribution of this document is prohibited under Turkish law.</w:t>
      </w:r>
    </w:p>
    <w:p>
      <w:pPr>
        <w:pStyle w:val="BodyText"/>
      </w:pPr>
      <w:r>
        <w:t xml:space="preserve">Page 1 of 1 | Generated: 15.06.2025 14:32 (TRT) | Document Hash: SHA-256: a3f8c2e1...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Istanbul, Turkey</dc:title>
  <dc:creator/>
  <dc:language>en</dc:language>
  <cp:keywords/>
  <dcterms:created xsi:type="dcterms:W3CDTF">2026-10-10T06:26:32Z</dcterms:created>
  <dcterms:modified xsi:type="dcterms:W3CDTF">2026-10-10T06:26:32Z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