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voice"/>
    <w:p>
      <w:pPr>
        <w:pStyle w:val="Heading1"/>
      </w:pPr>
      <w:r>
        <w:t xml:space="preserve">INVOICE</w:t>
      </w:r>
    </w:p>
    <w:p>
      <w:pPr>
        <w:pStyle w:val="FirstParagraph"/>
      </w:pPr>
      <w:r>
        <w:t xml:space="preserve">Judicial Services &amp; Court Proceedings</w:t>
      </w:r>
    </w:p>
    <w:p>
      <w:pPr>
        <w:pStyle w:val="BodyText"/>
      </w:pPr>
      <w:r>
        <w:t xml:space="preserve">United Arab Emirates — Abu Dhabi</w:t>
      </w:r>
    </w:p>
    <w:p>
      <w:pPr>
        <w:pStyle w:val="BodyText"/>
      </w:pPr>
      <w:r>
        <w:t xml:space="preserve">Issued under the jurisdiction of the Abu Dhabi Courts, United Arab Emirates</w:t>
      </w:r>
    </w:p>
    <w:bookmarkEnd w:id="20"/>
    <w:p>
      <w:pPr>
        <w:pStyle w:val="BodyText"/>
      </w:pPr>
      <w:r>
        <w:t xml:space="preserve">Invoice Number</w:t>
      </w:r>
    </w:p>
    <w:p>
      <w:pPr>
        <w:pStyle w:val="BodyText"/>
      </w:pPr>
      <w:r>
        <w:t xml:space="preserve">ADJ-2025-04871</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AED (UAE Dirham)</w:t>
      </w:r>
    </w:p>
    <w:bookmarkStart w:id="21" w:name="issued-by-service-provider"/>
    <w:p>
      <w:pPr>
        <w:pStyle w:val="Heading3"/>
      </w:pPr>
      <w:r>
        <w:t xml:space="preserve">Issued By (Service Provider)</w:t>
      </w:r>
    </w:p>
    <w:p>
      <w:pPr>
        <w:pStyle w:val="FirstParagraph"/>
      </w:pPr>
      <w:r>
        <w:rPr>
          <w:bCs/>
          <w:b/>
        </w:rPr>
        <w:t xml:space="preserve">Abu Dhabi Judicial Authority</w:t>
      </w:r>
    </w:p>
    <w:p>
      <w:pPr>
        <w:pStyle w:val="BodyText"/>
      </w:pPr>
      <w:r>
        <w:t xml:space="preserve">Court of First Instance — Civil Division</w:t>
      </w:r>
    </w:p>
    <w:p>
      <w:pPr>
        <w:pStyle w:val="BodyText"/>
      </w:pPr>
      <w:r>
        <w:t xml:space="preserve">Al Markaziyah Judicial Complex</w:t>
      </w:r>
    </w:p>
    <w:p>
      <w:pPr>
        <w:pStyle w:val="BodyText"/>
      </w:pPr>
      <w:r>
        <w:t xml:space="preserve">P.O. Box 12345, Abu Dhabi</w:t>
      </w:r>
    </w:p>
    <w:p>
      <w:pPr>
        <w:pStyle w:val="BodyText"/>
      </w:pPr>
      <w:r>
        <w:t xml:space="preserve">United Arab Emirates</w:t>
      </w:r>
    </w:p>
    <w:p>
      <w:pPr>
        <w:pStyle w:val="BodyText"/>
      </w:pPr>
      <w:r>
        <w:t xml:space="preserve">Tel: +971-2-444-0000</w:t>
      </w:r>
    </w:p>
    <w:p>
      <w:pPr>
        <w:pStyle w:val="BodyText"/>
      </w:pPr>
      <w:r>
        <w:t xml:space="preserve">Email: judicial.services@adcourts.gov.ae</w:t>
      </w:r>
    </w:p>
    <w:p>
      <w:pPr>
        <w:pStyle w:val="BodyText"/>
      </w:pPr>
      <w:r>
        <w:t xml:space="preserve">TRN: 100223456700003</w:t>
      </w:r>
    </w:p>
    <w:bookmarkEnd w:id="21"/>
    <w:bookmarkStart w:id="22" w:name="bill-to-party-in-interest"/>
    <w:p>
      <w:pPr>
        <w:pStyle w:val="Heading3"/>
      </w:pPr>
      <w:r>
        <w:t xml:space="preserve">Bill To (Party in Interest)</w:t>
      </w:r>
    </w:p>
    <w:p>
      <w:pPr>
        <w:pStyle w:val="FirstParagraph"/>
      </w:pPr>
      <w:r>
        <w:rPr>
          <w:bCs/>
          <w:b/>
        </w:rPr>
        <w:t xml:space="preserve">Al Maktoum Trading &amp; Contracting LLC</w:t>
      </w:r>
    </w:p>
    <w:p>
      <w:pPr>
        <w:pStyle w:val="BodyText"/>
      </w:pPr>
      <w:r>
        <w:t xml:space="preserve">Attn: Legal Department</w:t>
      </w:r>
    </w:p>
    <w:p>
      <w:pPr>
        <w:pStyle w:val="BodyText"/>
      </w:pPr>
      <w:r>
        <w:t xml:space="preserve">Office 42, Level 7, Al Reem Island Tower</w:t>
      </w:r>
    </w:p>
    <w:p>
      <w:pPr>
        <w:pStyle w:val="BodyText"/>
      </w:pPr>
      <w:r>
        <w:t xml:space="preserve">P.O. Box 67890, Abu Dhabi</w:t>
      </w:r>
    </w:p>
    <w:p>
      <w:pPr>
        <w:pStyle w:val="BodyText"/>
      </w:pPr>
      <w:r>
        <w:t xml:space="preserve">United Arab Emirates</w:t>
      </w:r>
    </w:p>
    <w:p>
      <w:pPr>
        <w:pStyle w:val="BodyText"/>
      </w:pPr>
      <w:r>
        <w:t xml:space="preserve">Commercial License No: AD-CL-2019-88432</w:t>
      </w:r>
    </w:p>
    <w:p>
      <w:pPr>
        <w:pStyle w:val="BodyText"/>
      </w:pPr>
      <w:r>
        <w:t xml:space="preserve">Tel: +971-2-555-1234</w:t>
      </w:r>
    </w:p>
    <w:bookmarkEnd w:id="22"/>
    <w:bookmarkStart w:id="24" w:name="X5c900862c410cd2bf38b8de1bc4922a25552c74"/>
    <w:p>
      <w:pPr>
        <w:pStyle w:val="Heading2"/>
      </w:pPr>
      <w:r>
        <w:t xml:space="preserve">Description of Judicial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Case / Docket No.</w:t>
            </w:r>
          </w:p>
        </w:tc>
        <w:tc>
          <w:tcPr/>
          <w:p>
            <w:pPr>
              <w:pStyle w:val="Compact"/>
              <w:jc w:val="left"/>
            </w:pPr>
            <w:r>
              <w:t xml:space="preserve">Date</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Honourable Judge — Presiding Judge for Civil Dispute Hearing, Court of First Instance, Abu Dhabi. Includes adjudication, evidence review, and oral argument session.</w:t>
            </w:r>
          </w:p>
        </w:tc>
        <w:tc>
          <w:tcPr/>
          <w:p>
            <w:pPr>
              <w:pStyle w:val="Compact"/>
              <w:jc w:val="left"/>
            </w:pPr>
            <w:r>
              <w:t xml:space="preserve">CIV-2025-3341</w:t>
            </w:r>
          </w:p>
        </w:tc>
        <w:tc>
          <w:tcPr/>
          <w:p>
            <w:pPr>
              <w:pStyle w:val="Compact"/>
              <w:jc w:val="left"/>
            </w:pPr>
            <w:r>
              <w:t xml:space="preserve">02 Jun 2025</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Judge’s Written Ruling and Judgment Drafting — Comprehensive legal opinion issued by the presiding Judge following the hearing in the United Arab Emirates Abu Dhabi jurisdiction.</w:t>
            </w:r>
          </w:p>
        </w:tc>
        <w:tc>
          <w:tcPr/>
          <w:p>
            <w:pPr>
              <w:pStyle w:val="Compact"/>
              <w:jc w:val="left"/>
            </w:pPr>
            <w:r>
              <w:t xml:space="preserve">CIV-2025-3341</w:t>
            </w:r>
          </w:p>
        </w:tc>
        <w:tc>
          <w:tcPr/>
          <w:p>
            <w:pPr>
              <w:pStyle w:val="Compact"/>
              <w:jc w:val="left"/>
            </w:pPr>
            <w:r>
              <w:t xml:space="preserve">05 Jun 2025</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Court Filing and Administrative Fees — Processing of the Invoice for judicial proceedings, docket registration, and official court records maintenance in Abu Dhabi.</w:t>
            </w:r>
          </w:p>
        </w:tc>
        <w:tc>
          <w:tcPr/>
          <w:p>
            <w:pPr>
              <w:pStyle w:val="Compact"/>
              <w:jc w:val="left"/>
            </w:pPr>
            <w:r>
              <w:t xml:space="preserve">CIV-2025-3341</w:t>
            </w:r>
          </w:p>
        </w:tc>
        <w:tc>
          <w:tcPr/>
          <w:p>
            <w:pPr>
              <w:pStyle w:val="Compact"/>
              <w:jc w:val="left"/>
            </w:pPr>
            <w:r>
              <w:t xml:space="preserve">02 Jun 2025</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Judge’s Mediation Session — Facilitated dispute resolution conducted by the assigned Judge prior to final adjudication, in accordance with UAE Federal Law No. 41 of 2000 on Civil Transactions.</w:t>
            </w:r>
          </w:p>
        </w:tc>
        <w:tc>
          <w:tcPr/>
          <w:p>
            <w:pPr>
              <w:pStyle w:val="Compact"/>
              <w:jc w:val="left"/>
            </w:pPr>
            <w:r>
              <w:t xml:space="preserve">CIV-2025-3341</w:t>
            </w:r>
          </w:p>
        </w:tc>
        <w:tc>
          <w:tcPr/>
          <w:p>
            <w:pPr>
              <w:pStyle w:val="Compact"/>
              <w:jc w:val="left"/>
            </w:pPr>
            <w:r>
              <w:t xml:space="preserve">03 Jun 2025</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Expert Witness Coordination — Arrangement and scheduling of technical expert testimony under the direction of the presiding Judge for the Abu Dhabi court proceeding.</w:t>
            </w:r>
          </w:p>
        </w:tc>
        <w:tc>
          <w:tcPr/>
          <w:p>
            <w:pPr>
              <w:pStyle w:val="Compact"/>
              <w:jc w:val="left"/>
            </w:pPr>
            <w:r>
              <w:t xml:space="preserve">CIV-2025-3341</w:t>
            </w:r>
          </w:p>
        </w:tc>
        <w:tc>
          <w:tcPr/>
          <w:p>
            <w:pPr>
              <w:pStyle w:val="Compact"/>
              <w:jc w:val="left"/>
            </w:pPr>
            <w:r>
              <w:t xml:space="preserve">04 Jun 2025</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Official Certified Copy of Judgment — Notarized and stamped copy of the Judge’s final decision, issued by the Abu Dhabi Court Registry, United Arab Emirates.</w:t>
            </w:r>
          </w:p>
        </w:tc>
        <w:tc>
          <w:tcPr/>
          <w:p>
            <w:pPr>
              <w:pStyle w:val="Compact"/>
              <w:jc w:val="left"/>
            </w:pPr>
            <w:r>
              <w:t xml:space="preserve">CIV-2025-3341</w:t>
            </w:r>
          </w:p>
        </w:tc>
        <w:tc>
          <w:tcPr/>
          <w:p>
            <w:pPr>
              <w:pStyle w:val="Compact"/>
              <w:jc w:val="left"/>
            </w:pPr>
            <w:r>
              <w:t xml:space="preserve">10 Jun 2025</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Post-Judgment Enforcement Filing — Administrative processing for enforcement of the Judge’s ruling through the Abu Dhabi Enforcement Court.</w:t>
            </w:r>
          </w:p>
        </w:tc>
        <w:tc>
          <w:tcPr/>
          <w:p>
            <w:pPr>
              <w:pStyle w:val="Compact"/>
              <w:jc w:val="left"/>
            </w:pPr>
            <w:r>
              <w:t xml:space="preserve">ENF-2025-0912</w:t>
            </w:r>
          </w:p>
        </w:tc>
        <w:tc>
          <w:tcPr/>
          <w:p>
            <w:pPr>
              <w:pStyle w:val="Compact"/>
              <w:jc w:val="left"/>
            </w:pPr>
            <w:r>
              <w:t xml:space="preserve">12 Jun 2025</w:t>
            </w:r>
          </w:p>
        </w:tc>
        <w:tc>
          <w:tcPr/>
          <w:p>
            <w:pPr>
              <w:pStyle w:val="Compact"/>
              <w:jc w:val="left"/>
            </w:pPr>
            <w:r>
              <w:t xml:space="preserve">2,850.00</w:t>
            </w:r>
          </w:p>
        </w:tc>
      </w:tr>
    </w:tbl>
    <w:p>
      <w:pPr>
        <w:pStyle w:val="BodyText"/>
      </w:pPr>
      <w:r>
        <w:t xml:space="preserve">Subtotal:</w:t>
      </w:r>
      <w:r>
        <w:t xml:space="preserve"> </w:t>
      </w:r>
      <w:r>
        <w:t xml:space="preserve">AED 40,000.00</w:t>
      </w:r>
    </w:p>
    <w:p>
      <w:pPr>
        <w:pStyle w:val="BodyText"/>
      </w:pPr>
      <w:r>
        <w:t xml:space="preserve">VAT (5% — UAE Federal Tax Authority):</w:t>
      </w:r>
      <w:r>
        <w:t xml:space="preserve"> </w:t>
      </w:r>
      <w:r>
        <w:t xml:space="preserve">AED 2,000.00</w:t>
      </w:r>
    </w:p>
    <w:p>
      <w:pPr>
        <w:pStyle w:val="BodyText"/>
      </w:pPr>
      <w:r>
        <w:t xml:space="preserve">Court Administrative Surcharge:</w:t>
      </w:r>
      <w:r>
        <w:t xml:space="preserve"> </w:t>
      </w:r>
      <w:r>
        <w:t xml:space="preserve">AED 500.00</w:t>
      </w:r>
    </w:p>
    <w:p>
      <w:pPr>
        <w:pStyle w:val="BodyText"/>
      </w:pPr>
      <w:r>
        <w:t xml:space="preserve">GRAND TOTAL DUE:</w:t>
      </w:r>
      <w:r>
        <w:t xml:space="preserve"> </w:t>
      </w:r>
      <w:r>
        <w:t xml:space="preserve">AED 42,500.00</w:t>
      </w:r>
    </w:p>
    <w:bookmarkStart w:id="23"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laws of the United Arab Emirates and is governed by the judicial regulations of the Abu Dhabi Courts. All judicial services referenced herein were rendered by a duly appointed Judge of the Abu Dhabi Court of First Instance.</w:t>
      </w:r>
    </w:p>
    <w:p>
      <w:pPr>
        <w:numPr>
          <w:ilvl w:val="0"/>
          <w:numId w:val="1001"/>
        </w:numPr>
        <w:pStyle w:val="Compact"/>
      </w:pPr>
      <w:r>
        <w:t xml:space="preserve">Payment of the full amount stated in this Invoice shall be due within thirty (30) calendar days from the date of issue. Late payments shall be subject to a penalty of 2% per month as stipulated under UAE Federal Law.</w:t>
      </w:r>
    </w:p>
    <w:p>
      <w:pPr>
        <w:numPr>
          <w:ilvl w:val="0"/>
          <w:numId w:val="1001"/>
        </w:numPr>
        <w:pStyle w:val="Compact"/>
      </w:pPr>
      <w:r>
        <w:t xml:space="preserve">All amounts are denominated in United Arab Emirates Dirhams (AED). Payment may be made via bank transfer to the Abu Dhabi Judicial Authority account (Bank: Abu Dhabi Commercial Bank, IBAN: AE0700000000000012345678) or through the official UAE government payment portal.</w:t>
      </w:r>
    </w:p>
    <w:p>
      <w:pPr>
        <w:numPr>
          <w:ilvl w:val="0"/>
          <w:numId w:val="1001"/>
        </w:numPr>
        <w:pStyle w:val="Compact"/>
      </w:pPr>
      <w:r>
        <w:t xml:space="preserve">The Judge’s ruling and judgment referenced in this Invoice are final and binding within the jurisdiction of the United Arab Emirates Abu Dhabi courts, subject to the right of appeal before the Court of Appeal as provided by law.</w:t>
      </w:r>
    </w:p>
    <w:p>
      <w:pPr>
        <w:numPr>
          <w:ilvl w:val="0"/>
          <w:numId w:val="1001"/>
        </w:numPr>
        <w:pStyle w:val="Compact"/>
      </w:pPr>
      <w:r>
        <w:t xml:space="preserve">This Invoice constitutes an official record of judicial fees and court costs. A certified copy may be requested from the Abu Dhabi Court Registry for any legal or administrative purpose.</w:t>
      </w:r>
    </w:p>
    <w:p>
      <w:pPr>
        <w:numPr>
          <w:ilvl w:val="0"/>
          <w:numId w:val="1001"/>
        </w:numPr>
        <w:pStyle w:val="Compact"/>
      </w:pPr>
      <w:r>
        <w:t xml:space="preserve">Any disputes arising from the interpretation or payment of this Invoice shall be resolved exclusively by the competent courts in Abu Dhabi, United Arab Emirates.</w:t>
      </w:r>
    </w:p>
    <w:p>
      <w:pPr>
        <w:numPr>
          <w:ilvl w:val="0"/>
          <w:numId w:val="1001"/>
        </w:numPr>
        <w:pStyle w:val="Compact"/>
      </w:pPr>
      <w:r>
        <w:t xml:space="preserve">This document is valid only when bearing the official seal of the Abu Dhabi Judicial Authority and the signature of the authorized court clerk.</w:t>
      </w:r>
    </w:p>
    <w:bookmarkEnd w:id="23"/>
    <w:p>
      <w:pPr>
        <w:pStyle w:val="FirstParagraph"/>
      </w:pPr>
      <w:r>
        <w:t xml:space="preserve">[Official Court Seal — Abu Dhabi]</w:t>
      </w:r>
    </w:p>
    <w:p>
      <w:pPr>
        <w:pStyle w:val="BodyText"/>
      </w:pPr>
      <w:r>
        <w:t xml:space="preserve">[Authorized Signature — Court Clerk]</w:t>
      </w:r>
    </w:p>
    <w:p>
      <w:pPr>
        <w:pStyle w:val="BodyText"/>
      </w:pPr>
      <w:r>
        <w:rPr>
          <w:bCs/>
          <w:b/>
        </w:rPr>
        <w:t xml:space="preserve">Abu Dhabi Judicial Authority — United Arab Emirates</w:t>
      </w:r>
    </w:p>
    <w:p>
      <w:pPr>
        <w:pStyle w:val="BodyText"/>
      </w:pPr>
      <w:r>
        <w:t xml:space="preserve">This Invoice (Ref: ADJ-2025-04871) is an official document of the Abu Dhabi Courts. It records the fees associated with judicial proceedings presided over by the assigned Judge in the United Arab Emirates Abu Dhabi jurisdiction.</w:t>
      </w:r>
    </w:p>
    <w:p>
      <w:pPr>
        <w:pStyle w:val="BodyText"/>
      </w:pPr>
      <w:r>
        <w:t xml:space="preserve">© 2025 Abu Dhabi Judicial Authority. All rights reserved. This document is issued in compliance with UAE Federal Tax Authority regulations and the Abu Dhabi Courts Administrative Procedures.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United Arab Emirates Abu Dhabi</dc:title>
  <dc:creator/>
  <dc:language>en</dc:language>
  <cp:keywords/>
  <dcterms:created xsi:type="dcterms:W3CDTF">2026-10-10T07:36:15Z</dcterms:created>
  <dcterms:modified xsi:type="dcterms:W3CDTF">2026-10-10T07:36:15Z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