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Advisory</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l-qadha-judicial-advisory-services-llc"/>
    <w:p>
      <w:pPr>
        <w:pStyle w:val="Heading1"/>
      </w:pPr>
      <w:r>
        <w:t xml:space="preserve">Al Qadha Judicial Advisory Services LLC</w:t>
      </w:r>
    </w:p>
    <w:p>
      <w:pPr>
        <w:pStyle w:val="FirstParagraph"/>
      </w:pPr>
      <w:r>
        <w:t xml:space="preserve">Office 1204, Level 12, Burj Daman, DIFC</w:t>
      </w:r>
    </w:p>
    <w:p>
      <w:pPr>
        <w:pStyle w:val="BodyText"/>
      </w:pPr>
      <w:r>
        <w:t xml:space="preserve">Dubai, United Arab Emirates</w:t>
      </w:r>
    </w:p>
    <w:p>
      <w:pPr>
        <w:pStyle w:val="BodyText"/>
      </w:pPr>
      <w:r>
        <w:t xml:space="preserve">Tel: +971 4 555 8920 | Email: billing@alqadha-advisory.ae</w:t>
      </w:r>
    </w:p>
    <w:p>
      <w:pPr>
        <w:pStyle w:val="BodyText"/>
      </w:pPr>
      <w:r>
        <w:t xml:space="preserve">TRN: 100456789000003 | License No: DED-2019-44821</w:t>
      </w:r>
    </w:p>
    <w:p>
      <w:pPr>
        <w:pStyle w:val="BodyText"/>
      </w:pPr>
      <w:r>
        <w:t xml:space="preserve">Registered in Dubai, UAE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AQ-2025-00472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DIFC-ARB-2025-0118</w:t>
      </w:r>
    </w:p>
    <w:p>
      <w:pPr>
        <w:pStyle w:val="BodyText"/>
      </w:pPr>
      <w:r>
        <w:rPr>
          <w:bCs/>
          <w:b/>
        </w:rPr>
        <w:t xml:space="preserve">Currency:</w:t>
      </w:r>
      <w:r>
        <w:t xml:space="preserve"> </w:t>
      </w:r>
      <w:r>
        <w:t xml:space="preserve">AED (UAE Dirham)</w:t>
      </w:r>
    </w:p>
    <w:bookmarkEnd w:id="21"/>
    <w:bookmarkStart w:id="22" w:name="billed-to"/>
    <w:p>
      <w:pPr>
        <w:pStyle w:val="Heading3"/>
      </w:pPr>
      <w:r>
        <w:t xml:space="preserve">Billed To</w:t>
      </w:r>
    </w:p>
    <w:p>
      <w:pPr>
        <w:pStyle w:val="FirstParagraph"/>
      </w:pPr>
      <w:r>
        <w:rPr>
          <w:bCs/>
          <w:b/>
        </w:rPr>
        <w:t xml:space="preserve">Emirates Maritime Trading FZE</w:t>
      </w:r>
    </w:p>
    <w:p>
      <w:pPr>
        <w:pStyle w:val="BodyText"/>
      </w:pPr>
      <w:r>
        <w:t xml:space="preserve">Free Zone Establishment, JAFZA</w:t>
      </w:r>
    </w:p>
    <w:p>
      <w:pPr>
        <w:pStyle w:val="BodyText"/>
      </w:pPr>
      <w:r>
        <w:t xml:space="preserve">P.O. Box 118452, Jebel Ali</w:t>
      </w:r>
    </w:p>
    <w:p>
      <w:pPr>
        <w:pStyle w:val="BodyText"/>
      </w:pPr>
      <w:r>
        <w:t xml:space="preserve">Dubai, United Arab Emirates</w:t>
      </w:r>
    </w:p>
    <w:p>
      <w:pPr>
        <w:pStyle w:val="BodyText"/>
      </w:pPr>
      <w:r>
        <w:t xml:space="preserve">Attn: Mr. Khalid Al Mansoori, General Counsel</w:t>
      </w:r>
    </w:p>
    <w:p>
      <w:pPr>
        <w:pStyle w:val="BodyText"/>
      </w:pPr>
      <w:r>
        <w:t xml:space="preserve">TRN: 100987654000007</w:t>
      </w:r>
    </w:p>
    <w:bookmarkEnd w:id="22"/>
    <w:bookmarkStart w:id="23" w:name="service-provider-judge"/>
    <w:p>
      <w:pPr>
        <w:pStyle w:val="Heading3"/>
      </w:pPr>
      <w:r>
        <w:t xml:space="preserve">Service Provider (Judge)</w:t>
      </w:r>
    </w:p>
    <w:p>
      <w:pPr>
        <w:pStyle w:val="FirstParagraph"/>
      </w:pPr>
      <w:r>
        <w:rPr>
          <w:bCs/>
          <w:b/>
        </w:rPr>
        <w:t xml:space="preserve">Hon. Judge Dr. Fatima Al Rashidi</w:t>
      </w:r>
    </w:p>
    <w:p>
      <w:pPr>
        <w:pStyle w:val="BodyText"/>
      </w:pPr>
      <w:r>
        <w:t xml:space="preserve">Retired Judge, Dubai Court of Cassation</w:t>
      </w:r>
    </w:p>
    <w:p>
      <w:pPr>
        <w:pStyle w:val="BodyText"/>
      </w:pPr>
      <w:r>
        <w:t xml:space="preserve">Accredited Mediator &amp; Arbitrator</w:t>
      </w:r>
    </w:p>
    <w:p>
      <w:pPr>
        <w:pStyle w:val="BodyText"/>
      </w:pPr>
      <w:r>
        <w:t xml:space="preserve">DIFC International Courts &amp; Tribunal</w:t>
      </w:r>
    </w:p>
    <w:p>
      <w:pPr>
        <w:pStyle w:val="BodyText"/>
      </w:pPr>
      <w:r>
        <w:t xml:space="preserve">Dubai, United Arab Emirates</w:t>
      </w:r>
    </w:p>
    <w:p>
      <w:pPr>
        <w:pStyle w:val="BodyText"/>
      </w:pPr>
      <w:r>
        <w:t xml:space="preserve">Bar Registration: UAE-2003-0447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Judicial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Pre-arbitration judicial consultation and case assessment for maritime dispute under DIFC Arbitration Rules, United Arab Emirates Dubai jurisdiction</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Conduct of mediation session as appointed Judge-Mediator between Emirates Maritime Trading FZE and Gulf Shipping Line LLC, held at DIFC Mediation Centre, Dubai</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Drafting of judicial opinion and legal memorandum on enforceability of foreign arbitral award under UAE Federal Law No. 4 of 2000 (Arbitration Law), applicable in Dubai, United Arab Emirates</w:t>
            </w:r>
          </w:p>
        </w:tc>
        <w:tc>
          <w:tcPr/>
          <w:p>
            <w:pPr>
              <w:pStyle w:val="Compact"/>
              <w:jc w:val="left"/>
            </w:pPr>
            <w:r>
              <w:t xml:space="preserve">09 Jun 2025</w:t>
            </w:r>
          </w:p>
        </w:tc>
        <w:tc>
          <w:tcPr/>
          <w:p>
            <w:pPr>
              <w:pStyle w:val="Compact"/>
              <w:jc w:val="left"/>
            </w:pPr>
            <w:r>
              <w:t xml:space="preserve">5.0</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Attendance and testimony as expert judicial witness before the Dubai Court of First Instance, Commercial Division, regarding procedural compliance in prior arbitration proceedings</w:t>
            </w:r>
          </w:p>
        </w:tc>
        <w:tc>
          <w:tcPr/>
          <w:p>
            <w:pPr>
              <w:pStyle w:val="Compact"/>
              <w:jc w:val="left"/>
            </w:pPr>
            <w:r>
              <w:t xml:space="preserve">11 Jun 2025</w:t>
            </w:r>
          </w:p>
        </w:tc>
        <w:tc>
          <w:tcPr/>
          <w:p>
            <w:pPr>
              <w:pStyle w:val="Compact"/>
              <w:jc w:val="left"/>
            </w:pPr>
            <w:r>
              <w:t xml:space="preserve">3.0</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Post-hearing judicial review and written findings on evidentiary admissibility standards under UAE civil procedure law, delivered to client counsel in Dubai</w:t>
            </w:r>
          </w:p>
        </w:tc>
        <w:tc>
          <w:tcPr/>
          <w:p>
            <w:pPr>
              <w:pStyle w:val="Compact"/>
              <w:jc w:val="left"/>
            </w:pPr>
            <w:r>
              <w:t xml:space="preserve">13 Jun 2025</w:t>
            </w:r>
          </w:p>
        </w:tc>
        <w:tc>
          <w:tcPr/>
          <w:p>
            <w:pPr>
              <w:pStyle w:val="Compact"/>
              <w:jc w:val="left"/>
            </w:pPr>
            <w:r>
              <w:t xml:space="preserve">3.5</w:t>
            </w:r>
          </w:p>
        </w:tc>
        <w:tc>
          <w:tcPr/>
          <w:p>
            <w:pPr>
              <w:pStyle w:val="Compact"/>
              <w:jc w:val="left"/>
            </w:pPr>
            <w:r>
              <w:t xml:space="preserve">1,500.00</w:t>
            </w:r>
          </w:p>
        </w:tc>
        <w:tc>
          <w:tcPr/>
          <w:p>
            <w:pPr>
              <w:pStyle w:val="Compact"/>
              <w:jc w:val="left"/>
            </w:pPr>
            <w:r>
              <w:t xml:space="preserve">5,250.00</w:t>
            </w:r>
          </w:p>
        </w:tc>
      </w:tr>
      <w:tr>
        <w:tc>
          <w:tcPr/>
          <w:p>
            <w:pPr>
              <w:pStyle w:val="Compact"/>
              <w:jc w:val="left"/>
            </w:pPr>
            <w:r>
              <w:t xml:space="preserve">6</w:t>
            </w:r>
          </w:p>
        </w:tc>
        <w:tc>
          <w:tcPr/>
          <w:p>
            <w:pPr>
              <w:pStyle w:val="Compact"/>
              <w:jc w:val="left"/>
            </w:pPr>
            <w:r>
              <w:t xml:space="preserve">Travel and accommodation expenses for Judge Dr. Al Rashidi during on-site proceedings at JAFZA and DIFC facilities, United Arab Emirates Dubai</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37,000.00 AED</w:t>
            </w:r>
          </w:p>
        </w:tc>
      </w:tr>
      <w:tr>
        <w:tc>
          <w:tcPr/>
          <w:p>
            <w:pPr>
              <w:pStyle w:val="Compact"/>
              <w:jc w:val="left"/>
            </w:pPr>
            <w:r>
              <w:t xml:space="preserve">VAT @ 5% (UAE Federal Tax Authority)</w:t>
            </w:r>
          </w:p>
        </w:tc>
        <w:tc>
          <w:tcPr/>
          <w:p>
            <w:pPr>
              <w:pStyle w:val="Compact"/>
              <w:jc w:val="left"/>
            </w:pPr>
            <w:r>
              <w:t xml:space="preserve">1,850.00 AED</w:t>
            </w:r>
          </w:p>
        </w:tc>
      </w:tr>
      <w:tr>
        <w:tc>
          <w:tcPr/>
          <w:p>
            <w:pPr>
              <w:pStyle w:val="Compact"/>
              <w:jc w:val="left"/>
            </w:pPr>
            <w:r>
              <w:t xml:space="preserve">Withholding Tax (if applicable)</w:t>
            </w:r>
          </w:p>
        </w:tc>
        <w:tc>
          <w:tcPr/>
          <w:p>
            <w:pPr>
              <w:pStyle w:val="Compact"/>
              <w:jc w:val="left"/>
            </w:pPr>
            <w:r>
              <w:t xml:space="preserve">0.00 AED</w:t>
            </w:r>
          </w:p>
        </w:tc>
      </w:tr>
      <w:tr>
        <w:tc>
          <w:tcPr/>
          <w:p>
            <w:pPr>
              <w:pStyle w:val="Compact"/>
              <w:jc w:val="left"/>
            </w:pPr>
            <w:r>
              <w:t xml:space="preserve">TOTAL DUE</w:t>
            </w:r>
          </w:p>
        </w:tc>
        <w:tc>
          <w:tcPr/>
          <w:p>
            <w:pPr>
              <w:pStyle w:val="Compact"/>
              <w:jc w:val="left"/>
            </w:pPr>
            <w:r>
              <w:t xml:space="preserve">38,850.00 AED</w:t>
            </w:r>
          </w:p>
        </w:tc>
      </w:tr>
    </w:tbl>
    <w:bookmarkStart w:id="24" w:name="payment-terms-instructions"/>
    <w:p>
      <w:pPr>
        <w:pStyle w:val="Heading3"/>
      </w:pPr>
      <w:r>
        <w:t xml:space="preserve">Payment Terms &amp; Instructions</w:t>
      </w:r>
    </w:p>
    <w:p>
      <w:pPr>
        <w:pStyle w:val="FirstParagraph"/>
      </w:pPr>
      <w:r>
        <w:t xml:space="preserve">This invoice is payable within</w:t>
      </w:r>
      <w:r>
        <w:t xml:space="preserve"> </w:t>
      </w:r>
      <w:r>
        <w:rPr>
          <w:bCs/>
          <w:b/>
        </w:rPr>
        <w:t xml:space="preserve">14 calendar days</w:t>
      </w:r>
      <w:r>
        <w:t xml:space="preserve"> </w:t>
      </w:r>
      <w:r>
        <w:t xml:space="preserve">from the date of issue, in accordance with the engagement letter dated 20 May 2025 between the parties. Payment shall be made in UAE Dirhams (AED) via bank transfer to the following account:</w:t>
      </w:r>
    </w:p>
    <w:p>
      <w:pPr>
        <w:numPr>
          <w:ilvl w:val="0"/>
          <w:numId w:val="1001"/>
        </w:numPr>
        <w:pStyle w:val="Compact"/>
      </w:pPr>
      <w:r>
        <w:rPr>
          <w:bCs/>
          <w:b/>
        </w:rPr>
        <w:t xml:space="preserve">Bank:</w:t>
      </w:r>
      <w:r>
        <w:t xml:space="preserve"> </w:t>
      </w:r>
      <w:r>
        <w:t xml:space="preserve">Emirates NBD, DIFC Branch, Dubai, United Arab Emirates</w:t>
      </w:r>
    </w:p>
    <w:p>
      <w:pPr>
        <w:numPr>
          <w:ilvl w:val="0"/>
          <w:numId w:val="1001"/>
        </w:numPr>
        <w:pStyle w:val="Compact"/>
      </w:pPr>
      <w:r>
        <w:rPr>
          <w:bCs/>
          <w:b/>
        </w:rPr>
        <w:t xml:space="preserve">Account Name:</w:t>
      </w:r>
      <w:r>
        <w:t xml:space="preserve"> </w:t>
      </w:r>
      <w:r>
        <w:t xml:space="preserve">Al Qadha Judicial Advisory Services LLC</w:t>
      </w:r>
    </w:p>
    <w:p>
      <w:pPr>
        <w:numPr>
          <w:ilvl w:val="0"/>
          <w:numId w:val="1001"/>
        </w:numPr>
        <w:pStyle w:val="Compact"/>
      </w:pPr>
      <w:r>
        <w:rPr>
          <w:bCs/>
          <w:b/>
        </w:rPr>
        <w:t xml:space="preserve">Account No:</w:t>
      </w:r>
      <w:r>
        <w:t xml:space="preserve"> </w:t>
      </w:r>
      <w:r>
        <w:t xml:space="preserve">002-5567-8901-2345</w:t>
      </w:r>
    </w:p>
    <w:p>
      <w:pPr>
        <w:numPr>
          <w:ilvl w:val="0"/>
          <w:numId w:val="1001"/>
        </w:numPr>
        <w:pStyle w:val="Compact"/>
      </w:pPr>
      <w:r>
        <w:rPr>
          <w:bCs/>
          <w:b/>
        </w:rPr>
        <w:t xml:space="preserve">IBAN:</w:t>
      </w:r>
      <w:r>
        <w:t xml:space="preserve"> </w:t>
      </w:r>
      <w:r>
        <w:t xml:space="preserve">AE07002000000000556789012345</w:t>
      </w:r>
    </w:p>
    <w:p>
      <w:pPr>
        <w:numPr>
          <w:ilvl w:val="0"/>
          <w:numId w:val="1001"/>
        </w:numPr>
        <w:pStyle w:val="Compact"/>
      </w:pPr>
      <w:r>
        <w:rPr>
          <w:bCs/>
          <w:b/>
        </w:rPr>
        <w:t xml:space="preserve">SWIFT Code:</w:t>
      </w:r>
      <w:r>
        <w:t xml:space="preserve"> </w:t>
      </w:r>
      <w:r>
        <w:t xml:space="preserve">EMDBAEAD</w:t>
      </w:r>
    </w:p>
    <w:p>
      <w:pPr>
        <w:numPr>
          <w:ilvl w:val="0"/>
          <w:numId w:val="1001"/>
        </w:numPr>
        <w:pStyle w:val="Compact"/>
      </w:pPr>
      <w:r>
        <w:rPr>
          <w:bCs/>
          <w:b/>
        </w:rPr>
        <w:t xml:space="preserve">Reference:</w:t>
      </w:r>
      <w:r>
        <w:t xml:space="preserve"> </w:t>
      </w:r>
      <w:r>
        <w:t xml:space="preserve">AQ-2025-00472</w:t>
      </w:r>
    </w:p>
    <w:p>
      <w:pPr>
        <w:pStyle w:val="FirstParagraph"/>
      </w:pPr>
      <w:r>
        <w:t xml:space="preserve">A late payment penalty of 2% per month shall apply to any outstanding balance after the due date of 30 June 2025, in compliance with UAE commercial law provisions.</w:t>
      </w:r>
    </w:p>
    <w:bookmarkEnd w:id="24"/>
    <w:bookmarkStart w:id="25" w:name="notes-legal-disclaimers"/>
    <w:p>
      <w:pPr>
        <w:pStyle w:val="Heading3"/>
      </w:pPr>
      <w:r>
        <w:t xml:space="preserve">Notes &amp; Legal Disclaimers</w:t>
      </w:r>
    </w:p>
    <w:p>
      <w:pPr>
        <w:pStyle w:val="FirstParagraph"/>
      </w:pPr>
      <w:r>
        <w:t xml:space="preserve">1. All judicial advisory services rendered by Judge Dr. Fatima Al Rashidi are provided in her capacity as a retired judge and accredited mediator under the regulations of the Dubai Courts and the DIFC International Courts &amp; Tribunal, United Arab Emirates.</w:t>
      </w:r>
    </w:p>
    <w:p>
      <w:pPr>
        <w:pStyle w:val="BodyText"/>
      </w:pPr>
      <w:r>
        <w:t xml:space="preserve">2. The services described herein do not constitute a judicial ruling or court order. They are professional advisory opinions and mediation facilitation services offered on a private engagement basis.</w:t>
      </w:r>
    </w:p>
    <w:p>
      <w:pPr>
        <w:pStyle w:val="BodyText"/>
      </w:pPr>
      <w:r>
        <w:t xml:space="preserve">3. This invoice is subject to the VAT regulations issued by the Federal Tax Authority of the United Arab Emirates. The 5% VAT rate is applied as per UAE Federal Decree-Law No. 8 of 2017 on Value Added Tax.</w:t>
      </w:r>
    </w:p>
    <w:p>
      <w:pPr>
        <w:pStyle w:val="BodyText"/>
      </w:pPr>
      <w:r>
        <w:t xml:space="preserve">4. All disputes arising from this invoice or the underlying services shall be resolved in accordance with the arbitration clause of the engagement letter, with seat of arbitration in Dubai, United Arab Emirates, under the DIFC-LCIA Arbitration Rules.</w:t>
      </w:r>
    </w:p>
    <w:p>
      <w:pPr>
        <w:pStyle w:val="BodyText"/>
      </w:pPr>
      <w:r>
        <w:t xml:space="preserve">5. Please retain this invoice for your corporate records. A duplicate copy may be requested from billing@alqadha-advisory.ae with reference number AQ-2025-00472.</w:t>
      </w:r>
    </w:p>
    <w:bookmarkEnd w:id="25"/>
    <w:p>
      <w:pPr>
        <w:pStyle w:val="BodyText"/>
      </w:pPr>
      <w:r>
        <w:t xml:space="preserve">Al Qadha Judicial Advisory Services LLC — Dubai, United Arab Emirates</w:t>
      </w:r>
    </w:p>
    <w:p>
      <w:pPr>
        <w:pStyle w:val="BodyText"/>
      </w:pPr>
      <w:r>
        <w:t xml:space="preserve">Registered with the Department of Economic Development (DED), Dubai | Free Zone License: DIFC-2019-44821</w:t>
      </w:r>
    </w:p>
    <w:p>
      <w:pPr>
        <w:pStyle w:val="BodyText"/>
      </w:pPr>
      <w:r>
        <w:t xml:space="preserve">This is a computer-generated invoice and does not require a physical signature. It is valid for all legal and accounting purposes within the United Arab Emirates.</w:t>
      </w:r>
    </w:p>
    <w:p>
      <w:pPr>
        <w:pStyle w:val="BodyText"/>
      </w:pPr>
      <w:r>
        <w:t xml:space="preserve">© 2025 Al Qadha Judicial Advisory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Advisory Services - United Arab Emirates Dubai</dc:title>
  <dc:creator/>
  <dc:language>en</dc:language>
  <cp:keywords/>
  <dcterms:created xsi:type="dcterms:W3CDTF">2026-10-10T05:51:34Z</dcterms:created>
  <dcterms:modified xsi:type="dcterms:W3CDTF">2026-10-10T05:51:34Z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