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Official Invoice</w:t>
      </w:r>
    </w:p>
    <w:bookmarkStart w:id="20" w:name="invoice"/>
    <w:p>
      <w:pPr>
        <w:pStyle w:val="Heading1"/>
      </w:pPr>
      <w:r>
        <w:t xml:space="preserve">INVOICE</w:t>
      </w:r>
    </w:p>
    <w:p>
      <w:pPr>
        <w:pStyle w:val="FirstParagraph"/>
      </w:pPr>
      <w:r>
        <w:t xml:space="preserve">Judicial Mediation &amp; Arbitration Services</w:t>
      </w:r>
    </w:p>
    <w:p>
      <w:pPr>
        <w:pStyle w:val="BodyText"/>
      </w:pPr>
      <w:r>
        <w:t xml:space="preserve">Office of the Judge | Superior Court of California, County of Los Angeles</w:t>
      </w:r>
    </w:p>
    <w:p>
      <w:pPr>
        <w:pStyle w:val="BodyText"/>
      </w:pPr>
      <w:r>
        <w:t xml:space="preserve">United States Los Angeles, CA 90012</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JLA-2025-04871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Reference Case No.:</w:t>
      </w:r>
      <w:r>
        <w:t xml:space="preserve"> </w:t>
      </w:r>
      <w:r>
        <w:t xml:space="preserve">CV-2025-118472</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Pacific Crest Legal Group, LLP</w:t>
      </w:r>
    </w:p>
    <w:p>
      <w:pPr>
        <w:pStyle w:val="BodyText"/>
      </w:pPr>
      <w:r>
        <w:rPr>
          <w:bCs/>
          <w:b/>
        </w:rPr>
        <w:t xml:space="preserve">Address:</w:t>
      </w:r>
      <w:r>
        <w:t xml:space="preserve"> </w:t>
      </w:r>
      <w:r>
        <w:t xml:space="preserve">2029 Century Park East, Suite 1400</w:t>
      </w:r>
    </w:p>
    <w:p>
      <w:pPr>
        <w:pStyle w:val="BodyText"/>
      </w:pPr>
      <w:r>
        <w:rPr>
          <w:bCs/>
          <w:b/>
        </w:rPr>
        <w:t xml:space="preserve">City, State, ZIP:</w:t>
      </w:r>
      <w:r>
        <w:t xml:space="preserve"> </w:t>
      </w:r>
      <w:r>
        <w:t xml:space="preserve">United States Los Angeles, CA 90067</w:t>
      </w:r>
    </w:p>
    <w:p>
      <w:pPr>
        <w:pStyle w:val="BodyText"/>
      </w:pPr>
      <w:r>
        <w:rPr>
          <w:bCs/>
          <w:b/>
        </w:rPr>
        <w:t xml:space="preserve">Attn:</w:t>
      </w:r>
      <w:r>
        <w:t xml:space="preserve"> </w:t>
      </w:r>
      <w:r>
        <w:t xml:space="preserve">Ms. Diane Whitfield, Esq.</w:t>
      </w:r>
    </w:p>
    <w:p>
      <w:pPr>
        <w:pStyle w:val="BodyText"/>
      </w:pPr>
      <w:r>
        <w:rPr>
          <w:bCs/>
          <w:b/>
        </w:rPr>
        <w:t xml:space="preserve">Email:</w:t>
      </w:r>
      <w:r>
        <w:t xml:space="preserve"> </w:t>
      </w:r>
      <w:r>
        <w:t xml:space="preserve">d.whitfield@pacificcrestlegal.com</w:t>
      </w:r>
    </w:p>
    <w:bookmarkEnd w:id="22"/>
    <w:bookmarkStart w:id="23" w:name="issued-by"/>
    <w:p>
      <w:pPr>
        <w:pStyle w:val="Heading3"/>
      </w:pPr>
      <w:r>
        <w:t xml:space="preserve">Issued By</w:t>
      </w:r>
    </w:p>
    <w:p>
      <w:pPr>
        <w:pStyle w:val="FirstParagraph"/>
      </w:pPr>
      <w:r>
        <w:rPr>
          <w:bCs/>
          <w:b/>
        </w:rPr>
        <w:t xml:space="preserve">Judge:</w:t>
      </w:r>
      <w:r>
        <w:t xml:space="preserve"> </w:t>
      </w:r>
      <w:r>
        <w:t xml:space="preserve">Hon. Marcus T. Caldwell</w:t>
      </w:r>
    </w:p>
    <w:p>
      <w:pPr>
        <w:pStyle w:val="BodyText"/>
      </w:pPr>
      <w:r>
        <w:rPr>
          <w:bCs/>
          <w:b/>
        </w:rPr>
        <w:t xml:space="preserve">Title:</w:t>
      </w:r>
      <w:r>
        <w:t xml:space="preserve"> </w:t>
      </w:r>
      <w:r>
        <w:t xml:space="preserve">Retired Superior Court Judge, Mediator</w:t>
      </w:r>
    </w:p>
    <w:p>
      <w:pPr>
        <w:pStyle w:val="BodyText"/>
      </w:pPr>
      <w:r>
        <w:rPr>
          <w:bCs/>
          <w:b/>
        </w:rPr>
        <w:t xml:space="preserve">Bar No.:</w:t>
      </w:r>
      <w:r>
        <w:t xml:space="preserve"> </w:t>
      </w:r>
      <w:r>
        <w:t xml:space="preserve">CA-184729</w:t>
      </w:r>
    </w:p>
    <w:p>
      <w:pPr>
        <w:pStyle w:val="BodyText"/>
      </w:pPr>
      <w:r>
        <w:rPr>
          <w:bCs/>
          <w:b/>
        </w:rPr>
        <w:t xml:space="preserve">Office:</w:t>
      </w:r>
      <w:r>
        <w:t xml:space="preserve"> </w:t>
      </w:r>
      <w:r>
        <w:t xml:space="preserve">111 N. Hill Street, Room 201</w:t>
      </w:r>
    </w:p>
    <w:p>
      <w:pPr>
        <w:pStyle w:val="BodyText"/>
      </w:pPr>
      <w:r>
        <w:t xml:space="preserve">United States Los Angeles, CA 90012</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First Republic Bank</w:t>
      </w:r>
    </w:p>
    <w:p>
      <w:pPr>
        <w:pStyle w:val="BodyText"/>
      </w:pPr>
      <w:r>
        <w:rPr>
          <w:bCs/>
          <w:b/>
        </w:rPr>
        <w:t xml:space="preserve">Account Name:</w:t>
      </w:r>
      <w:r>
        <w:t xml:space="preserve"> </w:t>
      </w:r>
      <w:r>
        <w:t xml:space="preserve">Caldwell Judicial Services LLC</w:t>
      </w:r>
    </w:p>
    <w:p>
      <w:pPr>
        <w:pStyle w:val="BodyText"/>
      </w:pPr>
      <w:r>
        <w:rPr>
          <w:bCs/>
          <w:b/>
        </w:rPr>
        <w:t xml:space="preserve">Routing No.:</w:t>
      </w:r>
      <w:r>
        <w:t xml:space="preserve"> </w:t>
      </w:r>
      <w:r>
        <w:t xml:space="preserve">121000358</w:t>
      </w:r>
    </w:p>
    <w:p>
      <w:pPr>
        <w:pStyle w:val="BodyText"/>
      </w:pPr>
      <w:r>
        <w:rPr>
          <w:bCs/>
          <w:b/>
        </w:rPr>
        <w:t xml:space="preserve">Account No.:</w:t>
      </w:r>
      <w:r>
        <w:t xml:space="preserve"> </w:t>
      </w:r>
      <w:r>
        <w:t xml:space="preserve">****-****-4821</w:t>
      </w:r>
    </w:p>
    <w:p>
      <w:pPr>
        <w:pStyle w:val="BodyText"/>
      </w:pPr>
      <w:r>
        <w:rPr>
          <w:bCs/>
          <w:b/>
        </w:rPr>
        <w:t xml:space="preserve">Check Payable To:</w:t>
      </w:r>
      <w:r>
        <w:t xml:space="preserve"> </w:t>
      </w:r>
      <w:r>
        <w:t xml:space="preserve">Caldwell Judicial Services LLC</w:t>
      </w:r>
    </w:p>
    <w:bookmarkEnd w:id="24"/>
    <w:bookmarkStart w:id="26" w:name="Xcc1976d47145c7fab455b043171d8ec85c6e8c7"/>
    <w:p>
      <w:pPr>
        <w:pStyle w:val="Heading2"/>
      </w:pPr>
      <w:r>
        <w:t xml:space="preserve">Description of Services Rendered by the Judge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case review and pre-mediation conference conducted by Judge Caldwell regarding commercial dispute between Pacific Crest Legal Group client and Meridian Holdings Inc. The Judge prepared a detailed procedural framework for the mediation session held in United States Los Angeles.</w:t>
            </w:r>
          </w:p>
        </w:tc>
        <w:tc>
          <w:tcPr/>
          <w:p>
            <w:pPr>
              <w:pStyle w:val="Compact"/>
              <w:jc w:val="left"/>
            </w:pPr>
            <w:r>
              <w:t xml:space="preserve">May 5,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Full-day mediation session presided over by the Judge at the Los Angeles County Bar Association Mediation Center. The Judge facilitated structured negotiations, reviewed submitted exhibits, and issued interim procedural rulings to maintain the integrity of the mediation process in United States Los Angeles.</w:t>
            </w:r>
          </w:p>
        </w:tc>
        <w:tc>
          <w:tcPr/>
          <w:p>
            <w:pPr>
              <w:pStyle w:val="Compact"/>
              <w:jc w:val="left"/>
            </w:pPr>
            <w:r>
              <w:t xml:space="preserve">May 12,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Follow-up mediation session and drafting of the proposed settlement memorandum. The Judge reviewed both parties' revised positions, conducted private caucuses, and prepared a written summary of agreed-upon terms for judicial review.</w:t>
            </w:r>
          </w:p>
        </w:tc>
        <w:tc>
          <w:tcPr/>
          <w:p>
            <w:pPr>
              <w:pStyle w:val="Compact"/>
              <w:jc w:val="left"/>
            </w:pPr>
            <w:r>
              <w:t xml:space="preserve">May 19, 2025</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Arbitration hearing and issuance of a binding arbitration award. The Judge presided over a two-day evidentiary hearing, heard witness testimony, reviewed documentary evidence, and rendered a final written award in accordance with the California Arbitration Act. All proceedings were conducted in United States Los Angeles.</w:t>
            </w:r>
          </w:p>
        </w:tc>
        <w:tc>
          <w:tcPr/>
          <w:p>
            <w:pPr>
              <w:pStyle w:val="Compact"/>
              <w:jc w:val="left"/>
            </w:pPr>
            <w:r>
              <w:t xml:space="preserve">May 28–29, 2025</w:t>
            </w:r>
          </w:p>
        </w:tc>
        <w:tc>
          <w:tcPr/>
          <w:p>
            <w:pPr>
              <w:pStyle w:val="Compact"/>
              <w:jc w:val="left"/>
            </w:pPr>
            <w:r>
              <w:t xml:space="preserve">14.0</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Post-award compliance review and certification. The Judge reviewed the implementing actions taken by both parties to ensure full compliance with the arbitration award and issued a formal certification of compliance for filing with the Superior Court of California, County of Los Angeles.</w:t>
            </w:r>
          </w:p>
        </w:tc>
        <w:tc>
          <w:tcPr/>
          <w:p>
            <w:pPr>
              <w:pStyle w:val="Compact"/>
              <w:jc w:val="left"/>
            </w:pPr>
            <w:r>
              <w:t xml:space="preserve">June 2, 2025</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Administrative costs: preparation and filing of court documents, certified copies of the arbitration award, and service of process within the jurisdiction of United States Los Angeles. Includes courier fees and court filing fees as mandated by the Los Angeles Superior Court.</w:t>
            </w:r>
          </w:p>
        </w:tc>
        <w:tc>
          <w:tcPr/>
          <w:p>
            <w:pPr>
              <w:pStyle w:val="Compact"/>
              <w:jc w:val="left"/>
            </w:pPr>
            <w:r>
              <w:t xml:space="preserve">June 5,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$16,235.00</w:t>
            </w:r>
          </w:p>
        </w:tc>
      </w:tr>
      <w:tr>
        <w:tc>
          <w:tcPr/>
          <w:p>
            <w:pPr>
              <w:pStyle w:val="Compact"/>
              <w:jc w:val="left"/>
            </w:pPr>
            <w:r>
              <w:t xml:space="preserve">Applicable Tax (0%)</w:t>
            </w:r>
          </w:p>
        </w:tc>
        <w:tc>
          <w:tcPr/>
          <w:p>
            <w:pPr>
              <w:pStyle w:val="Compact"/>
              <w:jc w:val="left"/>
            </w:pPr>
            <w:r>
              <w:t xml:space="preserve">$0.00</w:t>
            </w:r>
          </w:p>
        </w:tc>
      </w:tr>
      <w:tr>
        <w:tc>
          <w:tcPr/>
          <w:p>
            <w:pPr>
              <w:pStyle w:val="Compact"/>
              <w:jc w:val="left"/>
            </w:pPr>
            <w:r>
              <w:t xml:space="preserve">Retainer Credit Applied</w:t>
            </w:r>
          </w:p>
        </w:tc>
        <w:tc>
          <w:tcPr/>
          <w:p>
            <w:pPr>
              <w:pStyle w:val="Compact"/>
              <w:jc w:val="left"/>
            </w:pPr>
            <w:r>
              <w:t xml:space="preserve">-$2,500.00</w:t>
            </w:r>
          </w:p>
        </w:tc>
      </w:tr>
      <w:tr>
        <w:tc>
          <w:tcPr/>
          <w:p>
            <w:pPr>
              <w:pStyle w:val="Compact"/>
              <w:jc w:val="left"/>
            </w:pPr>
            <w:r>
              <w:t xml:space="preserve">Grand Total Due</w:t>
            </w:r>
          </w:p>
        </w:tc>
        <w:tc>
          <w:tcPr/>
          <w:p>
            <w:pPr>
              <w:pStyle w:val="Compact"/>
              <w:jc w:val="left"/>
            </w:pPr>
            <w:r>
              <w:t xml:space="preserve">$13,735.00</w:t>
            </w:r>
          </w:p>
        </w:tc>
      </w:tr>
    </w:tbl>
    <w:bookmarkStart w:id="25" w:name="important-notes-regarding-this-invoice"/>
    <w:p>
      <w:pPr>
        <w:pStyle w:val="Heading3"/>
      </w:pPr>
      <w:r>
        <w:t xml:space="preserve">Important Notes Regarding This Invoice</w:t>
      </w:r>
    </w:p>
    <w:p>
      <w:pPr>
        <w:pStyle w:val="FirstParagraph"/>
      </w:pPr>
      <w:r>
        <w:rPr>
          <w:bCs/>
          <w:b/>
        </w:rPr>
        <w:t xml:space="preserve">1.</w:t>
      </w:r>
      <w:r>
        <w:t xml:space="preserve"> </w:t>
      </w:r>
      <w:r>
        <w:t xml:space="preserve">This Invoice is issued in accordance with the engagement agreement dated April 20, 2025, between Caldwell Judicial Services LLC (representing Judge Marcus T. Caldwell) and Pacific Crest Legal Group, LLP. All services were rendered in the jurisdiction of United States Los Angeles, California.</w:t>
      </w:r>
    </w:p>
    <w:p>
      <w:pPr>
        <w:pStyle w:val="BodyText"/>
      </w:pPr>
      <w:r>
        <w:rPr>
          <w:bCs/>
          <w:b/>
        </w:rPr>
        <w:t xml:space="preserve">2.</w:t>
      </w:r>
      <w:r>
        <w:t xml:space="preserve"> </w:t>
      </w:r>
      <w:r>
        <w:t xml:space="preserve">The Judge's hourly rate of $450.00 reflects the standard fee schedule for retired judicial mediation and arbitration services as established by the Los Angeles County Bar Association. No additional surcharges apply for services performed within the city limits of United States Los Angeles.</w:t>
      </w:r>
    </w:p>
    <w:p>
      <w:pPr>
        <w:pStyle w:val="BodyText"/>
      </w:pPr>
      <w:r>
        <w:rPr>
          <w:bCs/>
          <w:b/>
        </w:rPr>
        <w:t xml:space="preserve">3.</w:t>
      </w:r>
      <w:r>
        <w:t xml:space="preserve"> </w:t>
      </w:r>
      <w:r>
        <w:t xml:space="preserve">Payment is due within thirty (30) calendar days from the date of this Invoice. Late payments shall accrue interest at a rate of 1.5% per month as permitted under California Civil Code Section 3289. The Judge's office reserves the right to suspend any pending proceedings until full payment is received.</w:t>
      </w:r>
    </w:p>
    <w:p>
      <w:pPr>
        <w:pStyle w:val="BodyText"/>
      </w:pPr>
      <w:r>
        <w:rPr>
          <w:bCs/>
          <w:b/>
        </w:rPr>
        <w:t xml:space="preserve">4.</w:t>
      </w:r>
      <w:r>
        <w:t xml:space="preserve"> </w:t>
      </w:r>
      <w:r>
        <w:t xml:space="preserve">This Invoice does not include costs associated with court reporters, expert witnesses, or third-party evaluators, which are billed separately by their respective providers. All such third-party invoices should be directed to the client's billing department.</w:t>
      </w:r>
    </w:p>
    <w:p>
      <w:pPr>
        <w:pStyle w:val="BodyText"/>
      </w:pPr>
      <w:r>
        <w:rPr>
          <w:bCs/>
          <w:b/>
        </w:rPr>
        <w:t xml:space="preserve">5.</w:t>
      </w:r>
      <w:r>
        <w:t xml:space="preserve"> </w:t>
      </w:r>
      <w:r>
        <w:t xml:space="preserve">The Judge confirms that all proceedings conducted under this engagement were performed in strict compliance with the Code of Judicial Conduct of the State of California and the ethical standards governing private mediation and arbitration in United States Los Angeles. No conflict of interest existed at the time of engagement.</w:t>
      </w:r>
    </w:p>
    <w:p>
      <w:pPr>
        <w:pStyle w:val="BodyText"/>
      </w:pPr>
      <w:r>
        <w:rPr>
          <w:bCs/>
          <w:b/>
        </w:rPr>
        <w:t xml:space="preserve">6.</w:t>
      </w:r>
      <w:r>
        <w:t xml:space="preserve"> </w:t>
      </w:r>
      <w:r>
        <w:t xml:space="preserve">Please reference Invoice Number JLA-2025-04871 on all correspondence and remittances. Direct any questions or disputes regarding this Invoice to the billing office at billing@caldwelljudicial.com or by telephone at (213) 555-0197. The Judge's chambers are located at 111 N. Hill Street, United States Los Angeles, CA 90012.</w:t>
      </w:r>
    </w:p>
    <w:bookmarkEnd w:id="25"/>
    <w:p>
      <w:pPr>
        <w:pStyle w:val="BodyText"/>
      </w:pPr>
      <w:r>
        <w:rPr>
          <w:bCs/>
          <w:b/>
        </w:rPr>
        <w:t xml:space="preserve">Caldwell Judicial Services LLC</w:t>
      </w:r>
      <w:r>
        <w:t xml:space="preserve"> </w:t>
      </w:r>
      <w:r>
        <w:t xml:space="preserve">| Office of Judge Marcus T. Caldwell</w:t>
      </w:r>
    </w:p>
    <w:p>
      <w:pPr>
        <w:pStyle w:val="BodyText"/>
      </w:pPr>
      <w:r>
        <w:t xml:space="preserve">111 N. Hill Street, Room 201, United States Los Angeles, CA 90012</w:t>
      </w:r>
    </w:p>
    <w:p>
      <w:pPr>
        <w:pStyle w:val="BodyText"/>
      </w:pPr>
      <w:r>
        <w:t xml:space="preserve">Phone: (213) 555-0197 | Email: billing@caldwelljudicial.com</w:t>
      </w:r>
    </w:p>
    <w:p>
      <w:pPr>
        <w:pStyle w:val="BodyText"/>
      </w:pPr>
      <w:r>
        <w:t xml:space="preserve">This Invoice is a legally binding document. All services described herein were performed in the State of California, United States Los Angeles. Governed by the laws of the State of California. Disputes regarding this Invoice shall be resolved in the Superior Court of California, County of Los Angeles.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United States Los Angeles</dc:title>
  <dc:creator/>
  <dc:language>en</dc:language>
  <cp:keywords/>
  <dcterms:created xsi:type="dcterms:W3CDTF">2026-10-10T08:10:00Z</dcterms:created>
  <dcterms:modified xsi:type="dcterms:W3CDTF">2026-10-10T08:10:00Z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