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Judicial Mediation &amp; Arbitration Services</w:t>
      </w:r>
    </w:p>
    <w:p>
      <w:pPr>
        <w:pStyle w:val="BodyText"/>
      </w:pPr>
      <w:r>
        <w:t xml:space="preserve">United States — New York City, New York</w:t>
      </w:r>
    </w:p>
    <w:p>
      <w:pPr>
        <w:pStyle w:val="BodyText"/>
      </w:pPr>
      <w:r>
        <w:t xml:space="preserve">INVOICE NO. JNYC-2025-04871</w:t>
      </w:r>
    </w:p>
    <w:bookmarkEnd w:id="20"/>
    <w:bookmarkStart w:id="21" w:name="issued-by-service-provider"/>
    <w:p>
      <w:pPr>
        <w:pStyle w:val="Heading3"/>
      </w:pPr>
      <w:r>
        <w:t xml:space="preserve">Issued By (Service Provider)</w:t>
      </w:r>
    </w:p>
    <w:p>
      <w:pPr>
        <w:pStyle w:val="FirstParagraph"/>
      </w:pPr>
      <w:r>
        <w:rPr>
          <w:bCs/>
          <w:b/>
        </w:rPr>
        <w:t xml:space="preserve">Hon. Margaret A. Whitfield</w:t>
      </w:r>
    </w:p>
    <w:p>
      <w:pPr>
        <w:pStyle w:val="BodyText"/>
      </w:pPr>
      <w:r>
        <w:t xml:space="preserve">Retired Justice, New York State Supreme Court</w:t>
      </w:r>
    </w:p>
    <w:p>
      <w:pPr>
        <w:pStyle w:val="BodyText"/>
      </w:pPr>
      <w:r>
        <w:t xml:space="preserve">Whitfield Judicial Mediation &amp; Arbitration, LLC</w:t>
      </w:r>
    </w:p>
    <w:p>
      <w:pPr>
        <w:pStyle w:val="BodyText"/>
      </w:pPr>
      <w:r>
        <w:t xml:space="preserve">140 West Broadway, Suite 2200</w:t>
      </w:r>
    </w:p>
    <w:p>
      <w:pPr>
        <w:pStyle w:val="BodyText"/>
      </w:pPr>
      <w:r>
        <w:t xml:space="preserve">New York City, New York 10013</w:t>
      </w:r>
    </w:p>
    <w:p>
      <w:pPr>
        <w:pStyle w:val="BodyText"/>
      </w:pPr>
      <w:r>
        <w:t xml:space="preserve">United States of America</w:t>
      </w:r>
    </w:p>
    <w:p>
      <w:pPr>
        <w:pStyle w:val="BodyText"/>
      </w:pPr>
      <w:r>
        <w:t xml:space="preserve">Tel: (212) 555-0187</w:t>
      </w:r>
    </w:p>
    <w:p>
      <w:pPr>
        <w:pStyle w:val="BodyText"/>
      </w:pPr>
      <w:r>
        <w:t xml:space="preserve">Email: m.whitfield@whitfieldjudicial.com</w:t>
      </w:r>
    </w:p>
    <w:p>
      <w:pPr>
        <w:pStyle w:val="BodyText"/>
      </w:pPr>
      <w:r>
        <w:t xml:space="preserve">NYS Bar No. 4482910 | EIN: 84-2917365</w:t>
      </w:r>
    </w:p>
    <w:bookmarkEnd w:id="21"/>
    <w:bookmarkStart w:id="22" w:name="billed-to-client"/>
    <w:p>
      <w:pPr>
        <w:pStyle w:val="Heading3"/>
      </w:pPr>
      <w:r>
        <w:t xml:space="preserve">Billed To (Client)</w:t>
      </w:r>
    </w:p>
    <w:p>
      <w:pPr>
        <w:pStyle w:val="FirstParagraph"/>
      </w:pPr>
      <w:r>
        <w:rPr>
          <w:bCs/>
          <w:b/>
        </w:rPr>
        <w:t xml:space="preserve">Harold &amp; Associates Legal Group, LLP</w:t>
      </w:r>
    </w:p>
    <w:p>
      <w:pPr>
        <w:pStyle w:val="BodyText"/>
      </w:pPr>
      <w:r>
        <w:t xml:space="preserve">Attn: Mr. David K. Harold, Esq.</w:t>
      </w:r>
    </w:p>
    <w:p>
      <w:pPr>
        <w:pStyle w:val="BodyText"/>
      </w:pPr>
      <w:r>
        <w:t xml:space="preserve">225 Park Avenue, 38th Floor</w:t>
      </w:r>
    </w:p>
    <w:p>
      <w:pPr>
        <w:pStyle w:val="BodyText"/>
      </w:pPr>
      <w:r>
        <w:t xml:space="preserve">New York City, New York 10172</w:t>
      </w:r>
    </w:p>
    <w:p>
      <w:pPr>
        <w:pStyle w:val="BodyText"/>
      </w:pPr>
      <w:r>
        <w:t xml:space="preserve">United States of America</w:t>
      </w:r>
    </w:p>
    <w:p>
      <w:pPr>
        <w:pStyle w:val="BodyText"/>
      </w:pPr>
      <w:r>
        <w:t xml:space="preserve">Tel: (212) 555-0342</w:t>
      </w:r>
    </w:p>
    <w:p>
      <w:pPr>
        <w:pStyle w:val="BodyText"/>
      </w:pPr>
      <w:r>
        <w:t xml:space="preserve">Email: dharold@haroldlegal.com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Service Period:</w:t>
      </w:r>
      <w:r>
        <w:t xml:space="preserve"> </w:t>
      </w:r>
      <w:r>
        <w:t xml:space="preserve">March 3, 2025 – May 30,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Case Reference:</w:t>
      </w:r>
      <w:r>
        <w:t xml:space="preserve"> </w:t>
      </w:r>
      <w:r>
        <w:t xml:space="preserve">Matter of Chen v. Meridian Properties, Inc. (Index No. 651234/2025)</w:t>
      </w:r>
    </w:p>
    <w:bookmarkEnd w:id="23"/>
    <w:bookmarkStart w:id="24" w:name="payment-method"/>
    <w:p>
      <w:pPr>
        <w:pStyle w:val="Heading3"/>
      </w:pPr>
      <w:r>
        <w:t xml:space="preserve">Payment Method</w:t>
      </w:r>
    </w:p>
    <w:p>
      <w:pPr>
        <w:pStyle w:val="FirstParagraph"/>
      </w:pPr>
      <w:r>
        <w:rPr>
          <w:bCs/>
          <w:b/>
        </w:rPr>
        <w:t xml:space="preserve">Bank Transfer (ACH):</w:t>
      </w:r>
    </w:p>
    <w:p>
      <w:pPr>
        <w:pStyle w:val="BodyText"/>
      </w:pPr>
      <w:r>
        <w:t xml:space="preserve">Bank: First National Bank of New York</w:t>
      </w:r>
    </w:p>
    <w:p>
      <w:pPr>
        <w:pStyle w:val="BodyText"/>
      </w:pPr>
      <w:r>
        <w:t xml:space="preserve">Account Name: Whitfield Judicial Mediation &amp; Arbitration, LLC</w:t>
      </w:r>
    </w:p>
    <w:p>
      <w:pPr>
        <w:pStyle w:val="BodyText"/>
      </w:pPr>
      <w:r>
        <w:t xml:space="preserve">Routing No.: 026009593</w:t>
      </w:r>
    </w:p>
    <w:p>
      <w:pPr>
        <w:pStyle w:val="BodyText"/>
      </w:pPr>
      <w:r>
        <w:t xml:space="preserve">Account No.: ****-7842</w:t>
      </w:r>
    </w:p>
    <w:p>
      <w:pPr>
        <w:pStyle w:val="BodyText"/>
      </w:pPr>
      <w:r>
        <w:rPr>
          <w:bCs/>
          <w:b/>
        </w:rPr>
        <w:t xml:space="preserve">Check Payable To:</w:t>
      </w:r>
    </w:p>
    <w:p>
      <w:pPr>
        <w:pStyle w:val="BodyText"/>
      </w:pPr>
      <w:r>
        <w:t xml:space="preserve">Whitfield Judicial Mediation &amp; Arbitration, LLC</w:t>
      </w:r>
    </w:p>
    <w:bookmarkEnd w:id="24"/>
    <w:bookmarkStart w:id="25" w:name="X5c900862c410cd2bf38b8de1bc4922a25552c74"/>
    <w:p>
      <w:pPr>
        <w:pStyle w:val="Heading3"/>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case review and conflict-of-interest assessment for the Judge to serve as neutral mediator in the commercial real estate dispute filed in the New York County Supreme Court, United States.</w:t>
            </w:r>
          </w:p>
        </w:tc>
        <w:tc>
          <w:tcPr/>
          <w:p>
            <w:pPr>
              <w:pStyle w:val="Compact"/>
              <w:jc w:val="left"/>
            </w:pPr>
            <w:r>
              <w:t xml:space="preserve">Mar 3, 2025</w:t>
            </w:r>
          </w:p>
        </w:tc>
        <w:tc>
          <w:tcPr/>
          <w:p>
            <w:pPr>
              <w:pStyle w:val="Compact"/>
              <w:jc w:val="left"/>
            </w:pPr>
            <w:r>
              <w:t xml:space="preserve">4.5</w:t>
            </w:r>
          </w:p>
        </w:tc>
        <w:tc>
          <w:tcPr/>
          <w:p>
            <w:pPr>
              <w:pStyle w:val="Compact"/>
              <w:jc w:val="left"/>
            </w:pPr>
            <w:r>
              <w:t xml:space="preserve">$450/hr</w:t>
            </w:r>
          </w:p>
        </w:tc>
        <w:tc>
          <w:tcPr/>
          <w:p>
            <w:pPr>
              <w:pStyle w:val="Compact"/>
              <w:jc w:val="left"/>
            </w:pPr>
            <w:r>
              <w:t xml:space="preserve">$2,025.00</w:t>
            </w:r>
          </w:p>
        </w:tc>
      </w:tr>
      <w:tr>
        <w:tc>
          <w:tcPr/>
          <w:p>
            <w:pPr>
              <w:pStyle w:val="Compact"/>
              <w:jc w:val="left"/>
            </w:pPr>
            <w:r>
              <w:t xml:space="preserve">2</w:t>
            </w:r>
          </w:p>
        </w:tc>
        <w:tc>
          <w:tcPr/>
          <w:p>
            <w:pPr>
              <w:pStyle w:val="Compact"/>
              <w:jc w:val="left"/>
            </w:pPr>
            <w:r>
              <w:t xml:space="preserve">Pre-mediation conference with both parties' counsel at the Judge's office in New York City. Review of pleadings, discovery materials, and proposed settlement frameworks.</w:t>
            </w:r>
          </w:p>
        </w:tc>
        <w:tc>
          <w:tcPr/>
          <w:p>
            <w:pPr>
              <w:pStyle w:val="Compact"/>
              <w:jc w:val="left"/>
            </w:pPr>
            <w:r>
              <w:t xml:space="preserve">Mar 10, 2025</w:t>
            </w:r>
          </w:p>
        </w:tc>
        <w:tc>
          <w:tcPr/>
          <w:p>
            <w:pPr>
              <w:pStyle w:val="Compact"/>
              <w:jc w:val="left"/>
            </w:pPr>
            <w:r>
              <w:t xml:space="preserve">3.0</w:t>
            </w:r>
          </w:p>
        </w:tc>
        <w:tc>
          <w:tcPr/>
          <w:p>
            <w:pPr>
              <w:pStyle w:val="Compact"/>
              <w:jc w:val="left"/>
            </w:pPr>
            <w:r>
              <w:t xml:space="preserve">$450/hr</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Full-day mediation session conducted in New York City. The Judge facilitated structured negotiations between the plaintiff and defendant regarding property valuation, lease obligations, and breach-of-contract damages.</w:t>
            </w:r>
          </w:p>
        </w:tc>
        <w:tc>
          <w:tcPr/>
          <w:p>
            <w:pPr>
              <w:pStyle w:val="Compact"/>
              <w:jc w:val="left"/>
            </w:pPr>
            <w:r>
              <w:t xml:space="preserve">Mar 24, 2025</w:t>
            </w:r>
          </w:p>
        </w:tc>
        <w:tc>
          <w:tcPr/>
          <w:p>
            <w:pPr>
              <w:pStyle w:val="Compact"/>
              <w:jc w:val="left"/>
            </w:pPr>
            <w:r>
              <w:t xml:space="preserve">9.0</w:t>
            </w:r>
          </w:p>
        </w:tc>
        <w:tc>
          <w:tcPr/>
          <w:p>
            <w:pPr>
              <w:pStyle w:val="Compact"/>
              <w:jc w:val="left"/>
            </w:pPr>
            <w:r>
              <w:t xml:space="preserve">$450/hr</w:t>
            </w:r>
          </w:p>
        </w:tc>
        <w:tc>
          <w:tcPr/>
          <w:p>
            <w:pPr>
              <w:pStyle w:val="Compact"/>
              <w:jc w:val="left"/>
            </w:pPr>
            <w:r>
              <w:t xml:space="preserve">$4,050.00</w:t>
            </w:r>
          </w:p>
        </w:tc>
      </w:tr>
      <w:tr>
        <w:tc>
          <w:tcPr/>
          <w:p>
            <w:pPr>
              <w:pStyle w:val="Compact"/>
              <w:jc w:val="left"/>
            </w:pPr>
            <w:r>
              <w:t xml:space="preserve">4</w:t>
            </w:r>
          </w:p>
        </w:tc>
        <w:tc>
          <w:tcPr/>
          <w:p>
            <w:pPr>
              <w:pStyle w:val="Compact"/>
              <w:jc w:val="left"/>
            </w:pPr>
            <w:r>
              <w:t xml:space="preserve">Follow-up mediation session and drafting of the proposed mediation agreement. The Judge prepared a detailed memorandum of understanding outlining terms acceptable to both parties.</w:t>
            </w:r>
          </w:p>
        </w:tc>
        <w:tc>
          <w:tcPr/>
          <w:p>
            <w:pPr>
              <w:pStyle w:val="Compact"/>
              <w:jc w:val="left"/>
            </w:pPr>
            <w:r>
              <w:t xml:space="preserve">Apr 7, 2025</w:t>
            </w:r>
          </w:p>
        </w:tc>
        <w:tc>
          <w:tcPr/>
          <w:p>
            <w:pPr>
              <w:pStyle w:val="Compact"/>
              <w:jc w:val="left"/>
            </w:pPr>
            <w:r>
              <w:t xml:space="preserve">6.5</w:t>
            </w:r>
          </w:p>
        </w:tc>
        <w:tc>
          <w:tcPr/>
          <w:p>
            <w:pPr>
              <w:pStyle w:val="Compact"/>
              <w:jc w:val="left"/>
            </w:pPr>
            <w:r>
              <w:t xml:space="preserve">$450/hr</w:t>
            </w:r>
          </w:p>
        </w:tc>
        <w:tc>
          <w:tcPr/>
          <w:p>
            <w:pPr>
              <w:pStyle w:val="Compact"/>
              <w:jc w:val="left"/>
            </w:pPr>
            <w:r>
              <w:t xml:space="preserve">$2,925.00</w:t>
            </w:r>
          </w:p>
        </w:tc>
      </w:tr>
      <w:tr>
        <w:tc>
          <w:tcPr/>
          <w:p>
            <w:pPr>
              <w:pStyle w:val="Compact"/>
              <w:jc w:val="left"/>
            </w:pPr>
            <w:r>
              <w:t xml:space="preserve">5</w:t>
            </w:r>
          </w:p>
        </w:tc>
        <w:tc>
          <w:tcPr/>
          <w:p>
            <w:pPr>
              <w:pStyle w:val="Compact"/>
              <w:jc w:val="left"/>
            </w:pPr>
            <w:r>
              <w:t xml:space="preserve">Arbitration hearing in New York City. The Judge presided over a binding arbitration proceeding, heard witness testimony, reviewed documentary evidence, and issued a written arbitral award in accordance with the New York Arbitration Law.</w:t>
            </w:r>
          </w:p>
        </w:tc>
        <w:tc>
          <w:tcPr/>
          <w:p>
            <w:pPr>
              <w:pStyle w:val="Compact"/>
              <w:jc w:val="left"/>
            </w:pPr>
            <w:r>
              <w:t xml:space="preserve">Apr 21 – 22, 2025</w:t>
            </w:r>
          </w:p>
        </w:tc>
        <w:tc>
          <w:tcPr/>
          <w:p>
            <w:pPr>
              <w:pStyle w:val="Compact"/>
              <w:jc w:val="left"/>
            </w:pPr>
            <w:r>
              <w:t xml:space="preserve">16.0</w:t>
            </w:r>
          </w:p>
        </w:tc>
        <w:tc>
          <w:tcPr/>
          <w:p>
            <w:pPr>
              <w:pStyle w:val="Compact"/>
              <w:jc w:val="left"/>
            </w:pPr>
            <w:r>
              <w:t xml:space="preserve">$450/hr</w:t>
            </w:r>
          </w:p>
        </w:tc>
        <w:tc>
          <w:tcPr/>
          <w:p>
            <w:pPr>
              <w:pStyle w:val="Compact"/>
              <w:jc w:val="left"/>
            </w:pPr>
            <w:r>
              <w:t xml:space="preserve">$7,200.00</w:t>
            </w:r>
          </w:p>
        </w:tc>
      </w:tr>
      <w:tr>
        <w:tc>
          <w:tcPr/>
          <w:p>
            <w:pPr>
              <w:pStyle w:val="Compact"/>
              <w:jc w:val="left"/>
            </w:pPr>
            <w:r>
              <w:t xml:space="preserve">5a</w:t>
            </w:r>
          </w:p>
        </w:tc>
        <w:tc>
          <w:tcPr/>
          <w:p>
            <w:pPr>
              <w:pStyle w:val="Compact"/>
              <w:jc w:val="left"/>
            </w:pPr>
            <w:r>
              <w:t xml:space="preserve">Post-hearing deliberation and preparation of the final written arbitral award, including findings of fact, conclusions of law, and the operative award, filed with the appropriate court in New York City, United States.</w:t>
            </w:r>
          </w:p>
        </w:tc>
        <w:tc>
          <w:tcPr/>
          <w:p>
            <w:pPr>
              <w:pStyle w:val="Compact"/>
              <w:jc w:val="left"/>
            </w:pPr>
            <w:r>
              <w:t xml:space="preserve">Apr 23 – 28, 2025</w:t>
            </w:r>
          </w:p>
        </w:tc>
        <w:tc>
          <w:tcPr/>
          <w:p>
            <w:pPr>
              <w:pStyle w:val="Compact"/>
              <w:jc w:val="left"/>
            </w:pPr>
            <w:r>
              <w:t xml:space="preserve">12.0</w:t>
            </w:r>
          </w:p>
        </w:tc>
        <w:tc>
          <w:tcPr/>
          <w:p>
            <w:pPr>
              <w:pStyle w:val="Compact"/>
              <w:jc w:val="left"/>
            </w:pPr>
            <w:r>
              <w:t xml:space="preserve">$450/hr</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Compliance review and certification of the arbitral award for enforcement purposes under the Federal Arbitration Act and applicable New York State statutes. Consultation with client's counsel regarding the enforceability of the award in the United States federal and state court systems.</w:t>
            </w:r>
          </w:p>
        </w:tc>
        <w:tc>
          <w:tcPr/>
          <w:p>
            <w:pPr>
              <w:pStyle w:val="Compact"/>
              <w:jc w:val="left"/>
            </w:pPr>
            <w:r>
              <w:t xml:space="preserve">May 5, 2025</w:t>
            </w:r>
          </w:p>
        </w:tc>
        <w:tc>
          <w:tcPr/>
          <w:p>
            <w:pPr>
              <w:pStyle w:val="Compact"/>
              <w:jc w:val="left"/>
            </w:pPr>
            <w:r>
              <w:t xml:space="preserve">3.5</w:t>
            </w:r>
          </w:p>
        </w:tc>
        <w:tc>
          <w:tcPr/>
          <w:p>
            <w:pPr>
              <w:pStyle w:val="Compact"/>
              <w:jc w:val="left"/>
            </w:pPr>
            <w:r>
              <w:t xml:space="preserve">$450/hr</w:t>
            </w:r>
          </w:p>
        </w:tc>
        <w:tc>
          <w:tcPr/>
          <w:p>
            <w:pPr>
              <w:pStyle w:val="Compact"/>
              <w:jc w:val="left"/>
            </w:pPr>
            <w:r>
              <w:t xml:space="preserve">$1,575.00</w:t>
            </w:r>
          </w:p>
        </w:tc>
      </w:tr>
      <w:tr>
        <w:tc>
          <w:tcPr/>
          <w:p>
            <w:pPr>
              <w:pStyle w:val="Compact"/>
              <w:jc w:val="left"/>
            </w:pPr>
            <w:r>
              <w:t xml:space="preserve">7</w:t>
            </w:r>
          </w:p>
        </w:tc>
        <w:tc>
          <w:tcPr/>
          <w:p>
            <w:pPr>
              <w:pStyle w:val="Compact"/>
              <w:jc w:val="left"/>
            </w:pPr>
            <w:r>
              <w:t xml:space="preserve">Final closing conference in New York City. The Judge reviewed the executed settlement agreement, confirmed compliance with all terms, and provided a written certification of completion for the court record.</w:t>
            </w:r>
          </w:p>
        </w:tc>
        <w:tc>
          <w:tcPr/>
          <w:p>
            <w:pPr>
              <w:pStyle w:val="Compact"/>
              <w:jc w:val="left"/>
            </w:pPr>
            <w:r>
              <w:t xml:space="preserve">May 30, 2025</w:t>
            </w:r>
          </w:p>
        </w:tc>
        <w:tc>
          <w:tcPr/>
          <w:p>
            <w:pPr>
              <w:pStyle w:val="Compact"/>
              <w:jc w:val="left"/>
            </w:pPr>
            <w:r>
              <w:t xml:space="preserve">2.0</w:t>
            </w:r>
          </w:p>
        </w:tc>
        <w:tc>
          <w:tcPr/>
          <w:p>
            <w:pPr>
              <w:pStyle w:val="Compact"/>
              <w:jc w:val="left"/>
            </w:pPr>
            <w:r>
              <w:t xml:space="preserve">$450/hr</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Administrative costs: secure document storage, certified mail service for the arbitral award, court filing fees in New York County, and reproduction of case files for the permanent record maintained in New York City.</w:t>
            </w:r>
          </w:p>
        </w:tc>
        <w:tc>
          <w:tcPr/>
          <w:p>
            <w:pPr>
              <w:pStyle w:val="Compact"/>
              <w:jc w:val="left"/>
            </w:pPr>
            <w:r>
              <w:t xml:space="preserve">Mar–May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$1,240.00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w:t>
            </w:r>
          </w:p>
        </w:tc>
      </w:tr>
      <w:tr>
        <w:tc>
          <w:tcPr/>
          <w:p>
            <w:pPr>
              <w:pStyle w:val="Compact"/>
              <w:jc w:val="left"/>
            </w:pPr>
            <w:r>
              <w:t xml:space="preserve">Subtotal (Professional Services)</w:t>
            </w:r>
          </w:p>
        </w:tc>
        <w:tc>
          <w:tcPr/>
          <w:p>
            <w:pPr>
              <w:pStyle w:val="Compact"/>
              <w:jc w:val="left"/>
            </w:pPr>
            <w:r>
              <w:t xml:space="preserve">$25,425.00</w:t>
            </w:r>
          </w:p>
        </w:tc>
      </w:tr>
      <w:tr>
        <w:tc>
          <w:tcPr/>
          <w:p>
            <w:pPr>
              <w:pStyle w:val="Compact"/>
              <w:jc w:val="left"/>
            </w:pPr>
            <w:r>
              <w:t xml:space="preserve">Administrative &amp; Filing Costs</w:t>
            </w:r>
          </w:p>
        </w:tc>
        <w:tc>
          <w:tcPr/>
          <w:p>
            <w:pPr>
              <w:pStyle w:val="Compact"/>
              <w:jc w:val="left"/>
            </w:pPr>
            <w:r>
              <w:t xml:space="preserve">$1,240.00</w:t>
            </w:r>
          </w:p>
        </w:tc>
      </w:tr>
      <w:tr>
        <w:tc>
          <w:tcPr/>
          <w:p>
            <w:pPr>
              <w:pStyle w:val="Compact"/>
              <w:jc w:val="left"/>
            </w:pPr>
            <w:r>
              <w:t xml:space="preserve">New York City Sales &amp; Services Tax (8.875%)</w:t>
            </w:r>
          </w:p>
        </w:tc>
        <w:tc>
          <w:tcPr/>
          <w:p>
            <w:pPr>
              <w:pStyle w:val="Compact"/>
              <w:jc w:val="left"/>
            </w:pPr>
            <w:r>
              <w:t xml:space="preserve">$2,381.41</w:t>
            </w:r>
          </w:p>
        </w:tc>
      </w:tr>
      <w:tr>
        <w:tc>
          <w:tcPr/>
          <w:p>
            <w:pPr>
              <w:pStyle w:val="Compact"/>
              <w:jc w:val="left"/>
            </w:pPr>
            <w:r>
              <w:t xml:space="preserve">New York State Tax (4.0%)</w:t>
            </w:r>
          </w:p>
        </w:tc>
        <w:tc>
          <w:tcPr/>
          <w:p>
            <w:pPr>
              <w:pStyle w:val="Compact"/>
              <w:jc w:val="left"/>
            </w:pPr>
            <w:r>
              <w:t xml:space="preserve">$1,088.20</w:t>
            </w:r>
          </w:p>
        </w:tc>
      </w:tr>
      <w:tr>
        <w:tc>
          <w:tcPr/>
          <w:p>
            <w:pPr>
              <w:pStyle w:val="Compact"/>
              <w:jc w:val="left"/>
            </w:pPr>
            <w:r>
              <w:t xml:space="preserve">United States Federal Tax (3.0%)</w:t>
            </w:r>
          </w:p>
        </w:tc>
        <w:tc>
          <w:tcPr/>
          <w:p>
            <w:pPr>
              <w:pStyle w:val="Compact"/>
              <w:jc w:val="left"/>
            </w:pPr>
            <w:r>
              <w:t xml:space="preserve">$816.15</w:t>
            </w:r>
          </w:p>
        </w:tc>
      </w:tr>
      <w:tr>
        <w:tc>
          <w:tcPr/>
          <w:p>
            <w:pPr>
              <w:pStyle w:val="Compact"/>
              <w:jc w:val="left"/>
            </w:pPr>
            <w:r>
              <w:t xml:space="preserve">GRAND TOTAL DUE</w:t>
            </w:r>
          </w:p>
        </w:tc>
        <w:tc>
          <w:tcPr/>
          <w:p>
            <w:pPr>
              <w:pStyle w:val="Compact"/>
              <w:jc w:val="left"/>
            </w:pPr>
            <w:r>
              <w:t xml:space="preserve">$30,950.76</w:t>
            </w:r>
          </w:p>
        </w:tc>
      </w:tr>
    </w:tbl>
    <w:bookmarkEnd w:id="25"/>
    <w:bookmarkStart w:id="26" w:name="important-notes-terms"/>
    <w:p>
      <w:pPr>
        <w:pStyle w:val="Heading3"/>
      </w:pPr>
      <w:r>
        <w:t xml:space="preserve">Important Notes &amp; Terms</w:t>
      </w:r>
    </w:p>
    <w:p>
      <w:pPr>
        <w:pStyle w:val="FirstParagraph"/>
      </w:pPr>
      <w:r>
        <w:rPr>
          <w:bCs/>
          <w:b/>
        </w:rPr>
        <w:t xml:space="preserve">1.</w:t>
      </w:r>
      <w:r>
        <w:t xml:space="preserve"> </w:t>
      </w:r>
      <w:r>
        <w:t xml:space="preserve">This Invoice is issued by Hon. Margaret A. Whitfield, a retired Judge of the New York State Supreme Court, acting in her capacity as a private neutral mediator and arbitrator. All services were performed in New York City, United States, and are governed by the laws of the State of New York and applicable federal statutes of the United States.</w:t>
      </w:r>
    </w:p>
    <w:p>
      <w:pPr>
        <w:pStyle w:val="BodyText"/>
      </w:pPr>
      <w:r>
        <w:rPr>
          <w:bCs/>
          <w:b/>
        </w:rPr>
        <w:t xml:space="preserve">2.</w:t>
      </w:r>
      <w:r>
        <w:t xml:space="preserve"> </w:t>
      </w:r>
      <w:r>
        <w:t xml:space="preserve">Payment is due within thirty (30) calendar days of the Invoice date. Late payments shall accrue interest at the rate of 1.5% per month or the maximum rate permitted under New York State law, whichever is lower.</w:t>
      </w:r>
    </w:p>
    <w:p>
      <w:pPr>
        <w:pStyle w:val="BodyText"/>
      </w:pPr>
      <w:r>
        <w:rPr>
          <w:bCs/>
          <w:b/>
        </w:rPr>
        <w:t xml:space="preserve">3.</w:t>
      </w:r>
      <w:r>
        <w:t xml:space="preserve"> </w:t>
      </w:r>
      <w:r>
        <w:t xml:space="preserve">The Judge's services are provided on a strictly confidential basis. All case materials, mediation discussions, and arbitral proceedings are protected under New York Civil Practice Law and Rules (CPLR) Article 7511 and the Federal Arbitration Act (9 U.S.C. § 1 et seq.).</w:t>
      </w:r>
    </w:p>
    <w:p>
      <w:pPr>
        <w:pStyle w:val="BodyText"/>
      </w:pPr>
      <w:r>
        <w:rPr>
          <w:bCs/>
          <w:b/>
        </w:rPr>
        <w:t xml:space="preserve">4.</w:t>
      </w:r>
      <w:r>
        <w:t xml:space="preserve"> </w:t>
      </w:r>
      <w:r>
        <w:t xml:space="preserve">This Invoice does not constitute a legal opinion. The arbitral award and mediation documents referenced herein are binding upon the parties as stipulated in their arbitration agreement. The Judge assumes no further obligation beyond the scope of services described above.</w:t>
      </w:r>
    </w:p>
    <w:p>
      <w:pPr>
        <w:pStyle w:val="BodyText"/>
      </w:pPr>
      <w:r>
        <w:rPr>
          <w:bCs/>
          <w:b/>
        </w:rPr>
        <w:t xml:space="preserve">5.</w:t>
      </w:r>
      <w:r>
        <w:t xml:space="preserve"> </w:t>
      </w:r>
      <w:r>
        <w:t xml:space="preserve">All correspondence regarding this Invoice should be directed to the billing office of Whitfield Judicial Mediation &amp; Arbitration, LLC, located in New York City, New York, United States. Please reference Invoice No. JNYC-2025-04871 in all communications.</w:t>
      </w:r>
    </w:p>
    <w:p>
      <w:pPr>
        <w:pStyle w:val="BodyText"/>
      </w:pPr>
      <w:r>
        <w:rPr>
          <w:bCs/>
          <w:b/>
        </w:rPr>
        <w:t xml:space="preserve">6.</w:t>
      </w:r>
      <w:r>
        <w:t xml:space="preserve"> </w:t>
      </w:r>
      <w:r>
        <w:t xml:space="preserve">This Invoice is valid for payment in United States Dollars (USD) only. International wire transfers are subject to additional processing fees borne by the remitting party.</w:t>
      </w:r>
    </w:p>
    <w:bookmarkEnd w:id="26"/>
    <w:p>
      <w:pPr>
        <w:pStyle w:val="BodyText"/>
      </w:pPr>
      <w:r>
        <w:rPr>
          <w:bCs/>
          <w:b/>
        </w:rPr>
        <w:t xml:space="preserve">Whitfield Judicial Mediation &amp; Arbitration, LLC</w:t>
      </w:r>
    </w:p>
    <w:p>
      <w:pPr>
        <w:pStyle w:val="BodyText"/>
      </w:pPr>
      <w:r>
        <w:t xml:space="preserve">140 West Broadway, Suite 2200, New York City, New York 10013, United States of America</w:t>
      </w:r>
    </w:p>
    <w:p>
      <w:pPr>
        <w:pStyle w:val="BodyText"/>
      </w:pPr>
      <w:r>
        <w:t xml:space="preserve">Registered in the State of New York | NYS Department of State Entity No. 5284731</w:t>
      </w:r>
    </w:p>
    <w:p>
      <w:pPr>
        <w:pStyle w:val="BodyText"/>
      </w:pPr>
      <w:r>
        <w:t xml:space="preserve">This Invoice was generated electronically and is valid without a physical signature. For questions, contact billing@whitfieldjudicial.com.</w:t>
      </w:r>
    </w:p>
    <w:p>
      <w:pPr>
        <w:pStyle w:val="BodyText"/>
      </w:pPr>
      <w:r>
        <w:t xml:space="preserve">© 2025 Whitfield Judicial Mediation &amp; Arbitration, LLC. All rights reserved. Invoice JNYC-2025-04871.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New York City, United States</dc:title>
  <dc:creator/>
  <dc:language>en</dc:language>
  <cp:keywords/>
  <dcterms:created xsi:type="dcterms:W3CDTF">2026-10-10T13:53:27Z</dcterms:created>
  <dcterms:modified xsi:type="dcterms:W3CDTF">2026-10-10T13:53:27Z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