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Tashkent,</w:t>
      </w:r>
      <w:r>
        <w:t xml:space="preserve"> </w:t>
      </w:r>
      <w:r>
        <w:t xml:space="preserve">Uzbekistan</w:t>
      </w:r>
    </w:p>
    <w:bookmarkStart w:id="20" w:name="invoice"/>
    <w:p>
      <w:pPr>
        <w:pStyle w:val="Heading1"/>
      </w:pPr>
      <w:r>
        <w:t xml:space="preserve">INVOICE</w:t>
      </w:r>
    </w:p>
    <w:p>
      <w:pPr>
        <w:pStyle w:val="FirstParagraph"/>
      </w:pPr>
      <w:r>
        <w:t xml:space="preserve">Official Invoice for Judicial and Arbitration Services</w:t>
      </w:r>
    </w:p>
    <w:p>
      <w:pPr>
        <w:pStyle w:val="BodyText"/>
      </w:pPr>
      <w:r>
        <w:t xml:space="preserve">Tashkent, Uzbekistan</w:t>
      </w:r>
    </w:p>
    <w:bookmarkEnd w:id="20"/>
    <w:bookmarkStart w:id="21" w:name="issued-by-service-provider"/>
    <w:p>
      <w:pPr>
        <w:pStyle w:val="Heading3"/>
      </w:pPr>
      <w:r>
        <w:t xml:space="preserve">Issued By (Service Provider)</w:t>
      </w:r>
    </w:p>
    <w:p>
      <w:pPr>
        <w:pStyle w:val="FirstParagraph"/>
      </w:pPr>
      <w:r>
        <w:rPr>
          <w:bCs/>
          <w:b/>
        </w:rPr>
        <w:t xml:space="preserve">Full Name:</w:t>
      </w:r>
      <w:r>
        <w:t xml:space="preserve"> </w:t>
      </w:r>
      <w:r>
        <w:t xml:space="preserve">Honorable Judge Sardor Karimov</w:t>
      </w:r>
    </w:p>
    <w:p>
      <w:pPr>
        <w:pStyle w:val="BodyText"/>
      </w:pPr>
      <w:r>
        <w:rPr>
          <w:bCs/>
          <w:b/>
        </w:rPr>
        <w:t xml:space="preserve">Title:</w:t>
      </w:r>
      <w:r>
        <w:t xml:space="preserve"> </w:t>
      </w:r>
      <w:r>
        <w:t xml:space="preserve">Senior Arbitration Judge, Independent Judicial Panel</w:t>
      </w:r>
    </w:p>
    <w:p>
      <w:pPr>
        <w:pStyle w:val="BodyText"/>
      </w:pPr>
      <w:r>
        <w:rPr>
          <w:bCs/>
          <w:b/>
        </w:rPr>
        <w:t xml:space="preserve">License No.:</w:t>
      </w:r>
      <w:r>
        <w:t xml:space="preserve"> </w:t>
      </w:r>
      <w:r>
        <w:t xml:space="preserve">UZ-JDG-2019-04472</w:t>
      </w:r>
    </w:p>
    <w:p>
      <w:pPr>
        <w:pStyle w:val="BodyText"/>
      </w:pPr>
      <w:r>
        <w:rPr>
          <w:bCs/>
          <w:b/>
        </w:rPr>
        <w:t xml:space="preserve">Address:</w:t>
      </w:r>
      <w:r>
        <w:t xml:space="preserve"> </w:t>
      </w:r>
      <w:r>
        <w:t xml:space="preserve">14 Amir Temur Avenue, Yakkasaroy District, Tashkent, 100084, Uzbekistan</w:t>
      </w:r>
    </w:p>
    <w:p>
      <w:pPr>
        <w:pStyle w:val="BodyText"/>
      </w:pPr>
      <w:r>
        <w:rPr>
          <w:bCs/>
          <w:b/>
        </w:rPr>
        <w:t xml:space="preserve">Phone:</w:t>
      </w:r>
      <w:r>
        <w:t xml:space="preserve"> </w:t>
      </w:r>
      <w:r>
        <w:t xml:space="preserve">+998 (71) 200-45-67</w:t>
      </w:r>
    </w:p>
    <w:p>
      <w:pPr>
        <w:pStyle w:val="BodyText"/>
      </w:pPr>
      <w:r>
        <w:rPr>
          <w:bCs/>
          <w:b/>
        </w:rPr>
        <w:t xml:space="preserve">Email:</w:t>
      </w:r>
      <w:r>
        <w:t xml:space="preserve"> </w:t>
      </w:r>
      <w:r>
        <w:t xml:space="preserve">s.karimov@judicial-panel.uz</w:t>
      </w:r>
    </w:p>
    <w:p>
      <w:pPr>
        <w:pStyle w:val="BodyText"/>
      </w:pPr>
      <w:r>
        <w:rPr>
          <w:bCs/>
          <w:b/>
        </w:rPr>
        <w:t xml:space="preserve">Tax Identification Number (TIN):</w:t>
      </w:r>
      <w:r>
        <w:t xml:space="preserve"> </w:t>
      </w:r>
      <w:r>
        <w:t xml:space="preserve">2001456789</w:t>
      </w:r>
    </w:p>
    <w:bookmarkEnd w:id="21"/>
    <w:bookmarkStart w:id="22" w:name="invoice-details"/>
    <w:p>
      <w:pPr>
        <w:pStyle w:val="Heading3"/>
      </w:pPr>
      <w:r>
        <w:t xml:space="preserve">Invoice Details</w:t>
      </w:r>
    </w:p>
    <w:p>
      <w:pPr>
        <w:pStyle w:val="FirstParagraph"/>
      </w:pPr>
      <w:r>
        <w:rPr>
          <w:bCs/>
          <w:b/>
        </w:rPr>
        <w:t xml:space="preserve">Invoice Number:</w:t>
      </w:r>
      <w:r>
        <w:t xml:space="preserve"> </w:t>
      </w:r>
      <w:r>
        <w:t xml:space="preserve">INV-TK-2025-003847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Currency:</w:t>
      </w:r>
      <w:r>
        <w:t xml:space="preserve"> </w:t>
      </w:r>
      <w:r>
        <w:t xml:space="preserve">Uzbekistan Som (UZS)</w:t>
      </w:r>
    </w:p>
    <w:p>
      <w:pPr>
        <w:pStyle w:val="BodyText"/>
      </w:pPr>
      <w:r>
        <w:rPr>
          <w:bCs/>
          <w:b/>
        </w:rPr>
        <w:t xml:space="preserve">Payment Method:</w:t>
      </w:r>
      <w:r>
        <w:t xml:space="preserve"> </w:t>
      </w:r>
      <w:r>
        <w:t xml:space="preserve">Bank Transfer</w:t>
      </w:r>
    </w:p>
    <w:p>
      <w:pPr>
        <w:pStyle w:val="BodyText"/>
      </w:pPr>
      <w:r>
        <w:rPr>
          <w:bCs/>
          <w:b/>
        </w:rPr>
        <w:t xml:space="preserve">Bank:</w:t>
      </w:r>
      <w:r>
        <w:t xml:space="preserve"> </w:t>
      </w:r>
      <w:r>
        <w:t xml:space="preserve">National Bank of Uzbekistan, Tashkent Branch</w:t>
      </w:r>
    </w:p>
    <w:p>
      <w:pPr>
        <w:pStyle w:val="BodyText"/>
      </w:pPr>
      <w:r>
        <w:rPr>
          <w:bCs/>
          <w:b/>
        </w:rPr>
        <w:t xml:space="preserve">Account No.:</w:t>
      </w:r>
      <w:r>
        <w:t xml:space="preserve"> </w:t>
      </w:r>
      <w:r>
        <w:t xml:space="preserve">UZ09 6000 0000 1234 5678 9012</w:t>
      </w:r>
    </w:p>
    <w:bookmarkEnd w:id="22"/>
    <w:bookmarkStart w:id="23" w:name="billed-to-client-requesting-party"/>
    <w:p>
      <w:pPr>
        <w:pStyle w:val="Heading3"/>
      </w:pPr>
      <w:r>
        <w:t xml:space="preserve">Billed To (Client / Requesting Party)</w:t>
      </w:r>
    </w:p>
    <w:p>
      <w:pPr>
        <w:pStyle w:val="FirstParagraph"/>
      </w:pPr>
      <w:r>
        <w:rPr>
          <w:bCs/>
          <w:b/>
        </w:rPr>
        <w:t xml:space="preserve">Company:</w:t>
      </w:r>
      <w:r>
        <w:t xml:space="preserve"> </w:t>
      </w:r>
      <w:r>
        <w:t xml:space="preserve">Tashkent International Trade &amp; Commerce LLC</w:t>
      </w:r>
    </w:p>
    <w:p>
      <w:pPr>
        <w:pStyle w:val="BodyText"/>
      </w:pPr>
      <w:r>
        <w:rPr>
          <w:bCs/>
          <w:b/>
        </w:rPr>
        <w:t xml:space="preserve">Attention:</w:t>
      </w:r>
      <w:r>
        <w:t xml:space="preserve"> </w:t>
      </w:r>
      <w:r>
        <w:t xml:space="preserve">Ms. Dilnoza Rahimova, Chief Legal Officer</w:t>
      </w:r>
    </w:p>
    <w:p>
      <w:pPr>
        <w:pStyle w:val="BodyText"/>
      </w:pPr>
      <w:r>
        <w:rPr>
          <w:bCs/>
          <w:b/>
        </w:rPr>
        <w:t xml:space="preserve">Address:</w:t>
      </w:r>
      <w:r>
        <w:t xml:space="preserve"> </w:t>
      </w:r>
      <w:r>
        <w:t xml:space="preserve">88 Bunyodkor Street, Mirzo Ulugbek District, Tashkent, 100100, Uzbekistan</w:t>
      </w:r>
    </w:p>
    <w:p>
      <w:pPr>
        <w:pStyle w:val="BodyText"/>
      </w:pPr>
      <w:r>
        <w:rPr>
          <w:bCs/>
          <w:b/>
        </w:rPr>
        <w:t xml:space="preserve">Phone:</w:t>
      </w:r>
      <w:r>
        <w:t xml:space="preserve"> </w:t>
      </w:r>
      <w:r>
        <w:t xml:space="preserve">+998 (71) 245-88-12</w:t>
      </w:r>
    </w:p>
    <w:p>
      <w:pPr>
        <w:pStyle w:val="BodyText"/>
      </w:pPr>
      <w:r>
        <w:rPr>
          <w:bCs/>
          <w:b/>
        </w:rPr>
        <w:t xml:space="preserve">Email:</w:t>
      </w:r>
      <w:r>
        <w:t xml:space="preserve"> </w:t>
      </w:r>
      <w:r>
        <w:t xml:space="preserve">legal@tashkent-trade.uz</w:t>
      </w:r>
    </w:p>
    <w:p>
      <w:pPr>
        <w:pStyle w:val="BodyText"/>
      </w:pPr>
      <w:r>
        <w:rPr>
          <w:bCs/>
          <w:b/>
        </w:rPr>
        <w:t xml:space="preserve">Client Reference No.:</w:t>
      </w:r>
      <w:r>
        <w:t xml:space="preserve"> </w:t>
      </w:r>
      <w:r>
        <w:t xml:space="preserve">CTR-2025-0192</w:t>
      </w:r>
    </w:p>
    <w:bookmarkEnd w:id="23"/>
    <w:bookmarkStart w:id="25" w:name="description-of-judge-services-rendered"/>
    <w:p>
      <w:pPr>
        <w:pStyle w:val="Heading2"/>
      </w:pPr>
      <w:r>
        <w:t xml:space="preserve">Description of Judge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Hours</w:t>
            </w:r>
          </w:p>
        </w:tc>
        <w:tc>
          <w:tcPr/>
          <w:p>
            <w:pPr>
              <w:pStyle w:val="Compact"/>
              <w:jc w:val="left"/>
            </w:pPr>
            <w:r>
              <w:t xml:space="preserve">Rate (UZS/hr)</w:t>
            </w:r>
          </w:p>
        </w:tc>
        <w:tc>
          <w:tcPr/>
          <w:p>
            <w:pPr>
              <w:pStyle w:val="Compact"/>
              <w:jc w:val="left"/>
            </w:pPr>
            <w:r>
              <w:t xml:space="preserve">Amount (UZS)</w:t>
            </w:r>
          </w:p>
        </w:tc>
      </w:tr>
      <w:tr>
        <w:tc>
          <w:tcPr/>
          <w:p>
            <w:pPr>
              <w:pStyle w:val="Compact"/>
              <w:jc w:val="left"/>
            </w:pPr>
            <w:r>
              <w:t xml:space="preserve">1</w:t>
            </w:r>
          </w:p>
        </w:tc>
        <w:tc>
          <w:tcPr/>
          <w:p>
            <w:pPr>
              <w:pStyle w:val="Compact"/>
              <w:jc w:val="left"/>
            </w:pPr>
            <w:r>
              <w:t xml:space="preserve">Arbitration Judge Panel – Presiding Judge for commercial dispute case No. ARB-2025-0078 between Tashkent International Trade &amp; Commerce LLC and Almaty Logistics Group. Includes full hearing proceedings conducted in Tashkent, Uzbekistan.</w:t>
            </w:r>
          </w:p>
        </w:tc>
        <w:tc>
          <w:tcPr/>
          <w:p>
            <w:pPr>
              <w:pStyle w:val="Compact"/>
              <w:jc w:val="left"/>
            </w:pPr>
            <w:r>
              <w:t xml:space="preserve">02 Jun 2025</w:t>
            </w:r>
          </w:p>
        </w:tc>
        <w:tc>
          <w:tcPr/>
          <w:p>
            <w:pPr>
              <w:pStyle w:val="Compact"/>
              <w:jc w:val="left"/>
            </w:pPr>
            <w:r>
              <w:t xml:space="preserve">8.0</w:t>
            </w:r>
          </w:p>
        </w:tc>
        <w:tc>
          <w:tcPr/>
          <w:p>
            <w:pPr>
              <w:pStyle w:val="Compact"/>
              <w:jc w:val="left"/>
            </w:pPr>
            <w:r>
              <w:t xml:space="preserve">1,200,000</w:t>
            </w:r>
          </w:p>
        </w:tc>
        <w:tc>
          <w:tcPr/>
          <w:p>
            <w:pPr>
              <w:pStyle w:val="Compact"/>
              <w:jc w:val="left"/>
            </w:pPr>
            <w:r>
              <w:t xml:space="preserve">9,600,000</w:t>
            </w:r>
          </w:p>
        </w:tc>
      </w:tr>
      <w:tr>
        <w:tc>
          <w:tcPr/>
          <w:p>
            <w:pPr>
              <w:pStyle w:val="Compact"/>
              <w:jc w:val="left"/>
            </w:pPr>
            <w:r>
              <w:t xml:space="preserve">2</w:t>
            </w:r>
          </w:p>
        </w:tc>
        <w:tc>
          <w:tcPr/>
          <w:p>
            <w:pPr>
              <w:pStyle w:val="Compact"/>
              <w:jc w:val="left"/>
            </w:pPr>
            <w:r>
              <w:t xml:space="preserve">Written Arbitral Award and Legal Ruling – Drafting, review, and issuance of the final binding judgment by the Judge regarding the aforementioned commercial dispute. Includes detailed legal reasoning, evidentiary analysis, and enforcement provisions under Uzbekistan's Civil Procedure Code.</w:t>
            </w:r>
          </w:p>
        </w:tc>
        <w:tc>
          <w:tcPr/>
          <w:p>
            <w:pPr>
              <w:pStyle w:val="Compact"/>
              <w:jc w:val="left"/>
            </w:pPr>
            <w:r>
              <w:t xml:space="preserve">05 Jun 2025</w:t>
            </w:r>
          </w:p>
        </w:tc>
        <w:tc>
          <w:tcPr/>
          <w:p>
            <w:pPr>
              <w:pStyle w:val="Compact"/>
              <w:jc w:val="left"/>
            </w:pPr>
            <w:r>
              <w:t xml:space="preserve">12.0</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3</w:t>
            </w:r>
          </w:p>
        </w:tc>
        <w:tc>
          <w:tcPr/>
          <w:p>
            <w:pPr>
              <w:pStyle w:val="Compact"/>
              <w:jc w:val="left"/>
            </w:pPr>
            <w:r>
              <w:t xml:space="preserve">Pre-Arbitration Consultation – Initial case assessment, jurisdictional review, and procedural guidance provided by the Judge to the client's legal team at the offices in Tashkent, Uzbekistan.</w:t>
            </w:r>
          </w:p>
        </w:tc>
        <w:tc>
          <w:tcPr/>
          <w:p>
            <w:pPr>
              <w:pStyle w:val="Compact"/>
              <w:jc w:val="left"/>
            </w:pPr>
            <w:r>
              <w:t xml:space="preserve">28 May 2025</w:t>
            </w:r>
          </w:p>
        </w:tc>
        <w:tc>
          <w:tcPr/>
          <w:p>
            <w:pPr>
              <w:pStyle w:val="Compact"/>
              <w:jc w:val="left"/>
            </w:pPr>
            <w:r>
              <w:t xml:space="preserve">3.0</w:t>
            </w:r>
          </w:p>
        </w:tc>
        <w:tc>
          <w:tcPr/>
          <w:p>
            <w:pPr>
              <w:pStyle w:val="Compact"/>
              <w:jc w:val="left"/>
            </w:pPr>
            <w:r>
              <w:t xml:space="preserve">1,000,000</w:t>
            </w:r>
          </w:p>
        </w:tc>
        <w:tc>
          <w:tcPr/>
          <w:p>
            <w:pPr>
              <w:pStyle w:val="Compact"/>
              <w:jc w:val="left"/>
            </w:pPr>
            <w:r>
              <w:t xml:space="preserve">3,000,000</w:t>
            </w:r>
          </w:p>
        </w:tc>
      </w:tr>
      <w:tr>
        <w:tc>
          <w:tcPr/>
          <w:p>
            <w:pPr>
              <w:pStyle w:val="Compact"/>
              <w:jc w:val="left"/>
            </w:pPr>
            <w:r>
              <w:t xml:space="preserve">4</w:t>
            </w:r>
          </w:p>
        </w:tc>
        <w:tc>
          <w:tcPr/>
          <w:p>
            <w:pPr>
              <w:pStyle w:val="Compact"/>
              <w:jc w:val="left"/>
            </w:pPr>
            <w:r>
              <w:t xml:space="preserve">Evidentiary Hearing and Witness Examination – Judge-led session for cross-examination of three (3) expert witnesses and review of documentary evidence submitted by both parties in the arbitration proceeding held in Tashkent.</w:t>
            </w:r>
          </w:p>
        </w:tc>
        <w:tc>
          <w:tcPr/>
          <w:p>
            <w:pPr>
              <w:pStyle w:val="Compact"/>
              <w:jc w:val="left"/>
            </w:pPr>
            <w:r>
              <w:t xml:space="preserve">04 Jun 2025</w:t>
            </w:r>
          </w:p>
        </w:tc>
        <w:tc>
          <w:tcPr/>
          <w:p>
            <w:pPr>
              <w:pStyle w:val="Compact"/>
              <w:jc w:val="left"/>
            </w:pPr>
            <w:r>
              <w:t xml:space="preserve">6.0</w:t>
            </w:r>
          </w:p>
        </w:tc>
        <w:tc>
          <w:tcPr/>
          <w:p>
            <w:pPr>
              <w:pStyle w:val="Compact"/>
              <w:jc w:val="left"/>
            </w:pPr>
            <w:r>
              <w:t xml:space="preserve">1,200,000</w:t>
            </w:r>
          </w:p>
        </w:tc>
        <w:tc>
          <w:tcPr/>
          <w:p>
            <w:pPr>
              <w:pStyle w:val="Compact"/>
              <w:jc w:val="left"/>
            </w:pPr>
            <w:r>
              <w:t xml:space="preserve">7,200,000</w:t>
            </w:r>
          </w:p>
        </w:tc>
      </w:tr>
      <w:tr>
        <w:tc>
          <w:tcPr/>
          <w:p>
            <w:pPr>
              <w:pStyle w:val="Compact"/>
              <w:jc w:val="left"/>
            </w:pPr>
            <w:r>
              <w:t xml:space="preserve">5</w:t>
            </w:r>
          </w:p>
        </w:tc>
        <w:tc>
          <w:tcPr/>
          <w:p>
            <w:pPr>
              <w:pStyle w:val="Compact"/>
              <w:jc w:val="left"/>
            </w:pPr>
            <w:r>
              <w:t xml:space="preserve">Post-Award Compliance Review – Follow-up judicial review to ensure both parties comply with the terms of the arbitral award. Includes a written compliance memorandum issued by the Judge and filed with the Tashkent City Arbitration Court registry.</w:t>
            </w:r>
          </w:p>
        </w:tc>
        <w:tc>
          <w:tcPr/>
          <w:p>
            <w:pPr>
              <w:pStyle w:val="Compact"/>
              <w:jc w:val="left"/>
            </w:pPr>
            <w:r>
              <w:t xml:space="preserve">12 Jun 2025</w:t>
            </w:r>
          </w:p>
        </w:tc>
        <w:tc>
          <w:tcPr/>
          <w:p>
            <w:pPr>
              <w:pStyle w:val="Compact"/>
              <w:jc w:val="left"/>
            </w:pPr>
            <w:r>
              <w:t xml:space="preserve">4.0</w:t>
            </w:r>
          </w:p>
        </w:tc>
        <w:tc>
          <w:tcPr/>
          <w:p>
            <w:pPr>
              <w:pStyle w:val="Compact"/>
              <w:jc w:val="left"/>
            </w:pPr>
            <w:r>
              <w:t xml:space="preserve">1,000,000</w:t>
            </w:r>
          </w:p>
        </w:tc>
        <w:tc>
          <w:tcPr/>
          <w:p>
            <w:pPr>
              <w:pStyle w:val="Compact"/>
              <w:jc w:val="left"/>
            </w:pPr>
            <w:r>
              <w:t xml:space="preserve">4,000,000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38,200,000 UZS</w:t>
            </w:r>
          </w:p>
        </w:tc>
      </w:tr>
      <w:tr>
        <w:tc>
          <w:tcPr/>
          <w:p>
            <w:pPr>
              <w:pStyle w:val="Compact"/>
              <w:jc w:val="left"/>
            </w:pPr>
            <w:r>
              <w:t xml:space="preserve">VAT (12% – Uzbekistan Standard Rate)</w:t>
            </w:r>
          </w:p>
        </w:tc>
        <w:tc>
          <w:tcPr/>
          <w:p>
            <w:pPr>
              <w:pStyle w:val="Compact"/>
              <w:jc w:val="right"/>
            </w:pPr>
            <w:r>
              <w:t xml:space="preserve">4,584,000 UZS</w:t>
            </w:r>
          </w:p>
        </w:tc>
      </w:tr>
      <w:tr>
        <w:tc>
          <w:tcPr/>
          <w:p>
            <w:pPr>
              <w:pStyle w:val="Compact"/>
              <w:jc w:val="left"/>
            </w:pPr>
            <w:r>
              <w:t xml:space="preserve">Court Filing &amp; Registry Fees (Tashkent)</w:t>
            </w:r>
          </w:p>
        </w:tc>
        <w:tc>
          <w:tcPr/>
          <w:p>
            <w:pPr>
              <w:pStyle w:val="Compact"/>
              <w:jc w:val="right"/>
            </w:pPr>
            <w:r>
              <w:t xml:space="preserve">1,500,000 UZS</w:t>
            </w:r>
          </w:p>
        </w:tc>
      </w:tr>
      <w:tr>
        <w:tc>
          <w:tcPr/>
          <w:p>
            <w:pPr>
              <w:pStyle w:val="Compact"/>
              <w:jc w:val="left"/>
            </w:pPr>
            <w:r>
              <w:t xml:space="preserve">Document Translation (Uzbek / English)</w:t>
            </w:r>
          </w:p>
        </w:tc>
        <w:tc>
          <w:tcPr/>
          <w:p>
            <w:pPr>
              <w:pStyle w:val="Compact"/>
              <w:jc w:val="right"/>
            </w:pPr>
            <w:r>
              <w:t xml:space="preserve">800,000 UZS</w:t>
            </w:r>
          </w:p>
        </w:tc>
      </w:tr>
      <w:tr>
        <w:tc>
          <w:tcPr/>
          <w:p>
            <w:pPr>
              <w:pStyle w:val="Compact"/>
              <w:jc w:val="left"/>
            </w:pPr>
            <w:r>
              <w:t xml:space="preserve">GRAND TOTAL DUE</w:t>
            </w:r>
          </w:p>
        </w:tc>
        <w:tc>
          <w:tcPr/>
          <w:p>
            <w:pPr>
              <w:pStyle w:val="Compact"/>
              <w:jc w:val="right"/>
            </w:pPr>
            <w:r>
              <w:t xml:space="preserve">45,084,000 UZS</w:t>
            </w:r>
          </w:p>
        </w:tc>
      </w:tr>
    </w:tbl>
    <w:bookmarkStart w:id="24" w:name="terms-conditions-important-notes"/>
    <w:p>
      <w:pPr>
        <w:pStyle w:val="Heading3"/>
      </w:pPr>
      <w:r>
        <w:t xml:space="preserve">Terms, Conditions &amp; Important Notes</w:t>
      </w:r>
    </w:p>
    <w:p>
      <w:pPr>
        <w:numPr>
          <w:ilvl w:val="0"/>
          <w:numId w:val="1001"/>
        </w:numPr>
        <w:pStyle w:val="Compact"/>
      </w:pPr>
      <w:r>
        <w:rPr>
          <w:bCs/>
          <w:b/>
        </w:rPr>
        <w:t xml:space="preserve">Payment Terms:</w:t>
      </w:r>
      <w:r>
        <w:t xml:space="preserve"> </w:t>
      </w:r>
      <w:r>
        <w:t xml:space="preserve">Full payment of the total invoice amount of 45,084,000 UZS (Fifty Million Eighty-Four Thousand Uzbekistan Som) is due within fifteen (15) calendar days from the date of issue, no later than 30 June 2025. Payment shall be made via bank transfer to the account specified above.</w:t>
      </w:r>
    </w:p>
    <w:p>
      <w:pPr>
        <w:numPr>
          <w:ilvl w:val="0"/>
          <w:numId w:val="1001"/>
        </w:numPr>
        <w:pStyle w:val="Compact"/>
      </w:pPr>
      <w:r>
        <w:rPr>
          <w:bCs/>
          <w:b/>
        </w:rPr>
        <w:t xml:space="preserve">Judicial Authority:</w:t>
      </w:r>
      <w:r>
        <w:t xml:space="preserve"> </w:t>
      </w:r>
      <w:r>
        <w:t xml:space="preserve">All services rendered by the undersigned Judge are conducted in accordance with the Arbitration Law of the Republic of Uzbekistan (Law No. ZRU-442, as amended) and the procedural rules of the Tashkent City Arbitration Court. The Judge's rulings and arbitral awards issued under this engagement are binding and enforceable within the jurisdiction of Uzbekistan.</w:t>
      </w:r>
    </w:p>
    <w:p>
      <w:pPr>
        <w:numPr>
          <w:ilvl w:val="0"/>
          <w:numId w:val="1001"/>
        </w:numPr>
        <w:pStyle w:val="Compact"/>
      </w:pPr>
      <w:r>
        <w:rPr>
          <w:bCs/>
          <w:b/>
        </w:rPr>
        <w:t xml:space="preserve">Confidentiality:</w:t>
      </w:r>
      <w:r>
        <w:t xml:space="preserve"> </w:t>
      </w:r>
      <w:r>
        <w:t xml:space="preserve">All case materials, evidentiary documents, and deliberations conducted by the Judge during the arbitration proceedings in Tashkent are subject to strict confidentiality as mandated by Article 47 of the Uzbekistan Arbitration Code. No portion of this invoice or the associated judicial proceedings may be disclosed to third parties without written consent from both parties.</w:t>
      </w:r>
    </w:p>
    <w:p>
      <w:pPr>
        <w:numPr>
          <w:ilvl w:val="0"/>
          <w:numId w:val="1001"/>
        </w:numPr>
        <w:pStyle w:val="Compact"/>
      </w:pPr>
      <w:r>
        <w:rPr>
          <w:bCs/>
          <w:b/>
        </w:rPr>
        <w:t xml:space="preserve">Late Payment:</w:t>
      </w:r>
      <w:r>
        <w:t xml:space="preserve"> </w:t>
      </w:r>
      <w:r>
        <w:t xml:space="preserve">In the event of non-payment by the due date, a late payment surcharge of 1.5% per month shall be applied to the outstanding balance, in accordance with the Civil Code of the Republic of Uzbekistan. The Judge reserves the right to suspend any ongoing or future judicial services until full settlement is received.</w:t>
      </w:r>
    </w:p>
    <w:p>
      <w:pPr>
        <w:numPr>
          <w:ilvl w:val="0"/>
          <w:numId w:val="1001"/>
        </w:numPr>
        <w:pStyle w:val="Compact"/>
      </w:pPr>
      <w:r>
        <w:rPr>
          <w:bCs/>
          <w:b/>
        </w:rPr>
        <w:t xml:space="preserve">Dispute Resolution:</w:t>
      </w:r>
      <w:r>
        <w:t xml:space="preserve"> </w:t>
      </w:r>
      <w:r>
        <w:t xml:space="preserve">Any dispute arising from this invoice or the judicial services described herein shall be resolved exclusively through the competent courts of Tashkent, Uzbekistan. The parties irrevocably submit to the jurisdiction of the Yakkasaroy District Court of Tashkent for any enforcement or interpretive matters.</w:t>
      </w:r>
    </w:p>
    <w:p>
      <w:pPr>
        <w:numPr>
          <w:ilvl w:val="0"/>
          <w:numId w:val="1001"/>
        </w:numPr>
        <w:pStyle w:val="Compact"/>
      </w:pPr>
      <w:r>
        <w:rPr>
          <w:bCs/>
          <w:b/>
        </w:rPr>
        <w:t xml:space="preserve">Validity:</w:t>
      </w:r>
      <w:r>
        <w:t xml:space="preserve"> </w:t>
      </w:r>
      <w:r>
        <w:t xml:space="preserve">This invoice is valid for a period of ninety (90) days from the date of issue. After this period, the Judge's office reserves the right to reissue the invoice with updated rates and applicable tax adjustments as per the National Bank of Uzbekistan regulations.</w:t>
      </w:r>
    </w:p>
    <w:p>
      <w:pPr>
        <w:numPr>
          <w:ilvl w:val="0"/>
          <w:numId w:val="1001"/>
        </w:numPr>
        <w:pStyle w:val="Compact"/>
      </w:pPr>
      <w:r>
        <w:rPr>
          <w:bCs/>
          <w:b/>
        </w:rPr>
        <w:t xml:space="preserve">Language:</w:t>
      </w:r>
      <w:r>
        <w:t xml:space="preserve"> </w:t>
      </w:r>
      <w:r>
        <w:t xml:space="preserve">This invoice is issued in English for the convenience of the client. The official legal record of all judicial proceedings conducted by the Judge is maintained in the Uzbek language at the Tashkent City Arbitration Court registry. Certified translations are available upon request.</w:t>
      </w:r>
    </w:p>
    <w:bookmarkEnd w:id="24"/>
    <w:p>
      <w:pPr>
        <w:pStyle w:val="FirstParagraph"/>
      </w:pPr>
      <w:r>
        <w:t xml:space="preserve">[ Judge's Official Seal ]</w:t>
      </w:r>
    </w:p>
    <w:p>
      <w:pPr>
        <w:pStyle w:val="BodyText"/>
      </w:pPr>
      <w:r>
        <w:t xml:space="preserve">[ Client's Company Stamp ]</w:t>
      </w:r>
    </w:p>
    <w:p>
      <w:pPr>
        <w:pStyle w:val="BodyText"/>
      </w:pPr>
      <w:r>
        <w:rPr>
          <w:bCs/>
          <w:b/>
        </w:rPr>
        <w:t xml:space="preserve">Authorized Signature:</w:t>
      </w:r>
      <w:r>
        <w:t xml:space="preserve"> </w:t>
      </w:r>
      <w:r>
        <w:t xml:space="preserve">Honorable Judge Sardor Karimov, Senior Arbitration Judge</w:t>
      </w:r>
    </w:p>
    <w:p>
      <w:pPr>
        <w:pStyle w:val="BodyText"/>
      </w:pPr>
      <w:r>
        <w:t xml:space="preserve">Independent Judicial Panel, Tashkent, Uzbekistan</w:t>
      </w:r>
    </w:p>
    <w:p>
      <w:pPr>
        <w:pStyle w:val="BodyText"/>
      </w:pPr>
      <w:r>
        <w:t xml:space="preserve">This invoice was generated in Tashkent, Republic of Uzbekistan, and is governed by the laws of Uzbekistan. All judicial references pertain to proceedings conducted within the Tashkent metropolitan jurisdiction.</w:t>
      </w:r>
    </w:p>
    <w:p>
      <w:pPr>
        <w:pStyle w:val="BodyText"/>
      </w:pPr>
      <w:r>
        <w:t xml:space="preserve">Invoice INV-TK-2025-003847 | Page 1 of 1 | Generated: 15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Judge Services - Tashkent, Uzbekistan</dc:title>
  <dc:creator/>
  <dc:language>en</dc:language>
  <cp:keywords/>
  <dcterms:created xsi:type="dcterms:W3CDTF">2026-10-10T07:35:04Z</dcterms:created>
  <dcterms:modified xsi:type="dcterms:W3CDTF">2026-10-10T07:35:04Z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