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Caracas,</w:t>
      </w:r>
      <w:r>
        <w:t xml:space="preserve"> </w:t>
      </w:r>
      <w:r>
        <w:t xml:space="preserve">Venezuela</w:t>
      </w:r>
    </w:p>
    <w:bookmarkStart w:id="20" w:name="invoice"/>
    <w:p>
      <w:pPr>
        <w:pStyle w:val="Heading1"/>
      </w:pPr>
      <w:r>
        <w:t xml:space="preserve">INVOICE</w:t>
      </w:r>
    </w:p>
    <w:p>
      <w:pPr>
        <w:pStyle w:val="FirstParagraph"/>
      </w:pPr>
      <w:r>
        <w:t xml:space="preserve">Tribunal de Primera Instancia en lo Civil, Mercantil y del Tránsito del Circuito Judicial del Área Metropolitana de Caracas</w:t>
      </w:r>
      <w:r>
        <w:br/>
      </w:r>
      <w:r>
        <w:t xml:space="preserve">República Bolivariana de Venezuela – Estado Miranda – Caracas</w:t>
      </w:r>
      <w:r>
        <w:br/>
      </w:r>
      <w:r>
        <w:t xml:space="preserve">RIF: J-00012345-6 | Código de Registro: TJ-2024-0087</w:t>
      </w:r>
    </w:p>
    <w:bookmarkEnd w:id="20"/>
    <w:bookmarkStart w:id="21" w:name="issued-by-judicial-authority"/>
    <w:p>
      <w:pPr>
        <w:pStyle w:val="Heading3"/>
      </w:pPr>
      <w:r>
        <w:t xml:space="preserve">Issued By (Judicial Authority)</w:t>
      </w:r>
    </w:p>
    <w:p>
      <w:pPr>
        <w:pStyle w:val="FirstParagraph"/>
      </w:pPr>
      <w:r>
        <w:rPr>
          <w:bCs/>
          <w:b/>
        </w:rPr>
        <w:t xml:space="preserve">Hon. Judge María Elena Rodríguez Paredes</w:t>
      </w:r>
    </w:p>
    <w:p>
      <w:pPr>
        <w:pStyle w:val="BodyText"/>
      </w:pPr>
      <w:r>
        <w:t xml:space="preserve">Juez Titular de Primera Instancia en lo Civil, Mercantil y del Tránsito</w:t>
      </w:r>
    </w:p>
    <w:p>
      <w:pPr>
        <w:pStyle w:val="BodyText"/>
      </w:pPr>
      <w:r>
        <w:t xml:space="preserve">Circuito Judicial del Área Metropolitana de Caracas</w:t>
      </w:r>
    </w:p>
    <w:p>
      <w:pPr>
        <w:pStyle w:val="BodyText"/>
      </w:pPr>
      <w:r>
        <w:t xml:space="preserve">Av. Panteón, Edificio Tribunales, Piso 3, Sala 307</w:t>
      </w:r>
    </w:p>
    <w:p>
      <w:pPr>
        <w:pStyle w:val="BodyText"/>
      </w:pPr>
      <w:r>
        <w:t xml:space="preserve">Chacao, Caracas, Venezuela</w:t>
      </w:r>
    </w:p>
    <w:p>
      <w:pPr>
        <w:pStyle w:val="BodyText"/>
      </w:pPr>
      <w:r>
        <w:t xml:space="preserve">Tel: +58 (212) 555-0142</w:t>
      </w:r>
    </w:p>
    <w:p>
      <w:pPr>
        <w:pStyle w:val="BodyText"/>
      </w:pPr>
      <w:r>
        <w:t xml:space="preserve">Email: juzgado307.caracas@poderjudicial.gob.ve</w:t>
      </w:r>
    </w:p>
    <w:bookmarkEnd w:id="21"/>
    <w:bookmarkStart w:id="22" w:name="billed-to-party-in-proceeding"/>
    <w:p>
      <w:pPr>
        <w:pStyle w:val="Heading3"/>
      </w:pPr>
      <w:r>
        <w:t xml:space="preserve">Billed To (Party in Proceeding)</w:t>
      </w:r>
    </w:p>
    <w:p>
      <w:pPr>
        <w:pStyle w:val="FirstParagraph"/>
      </w:pPr>
      <w:r>
        <w:rPr>
          <w:bCs/>
          <w:b/>
        </w:rPr>
        <w:t xml:space="preserve">Empresa Constructora del Caribe, C.A.</w:t>
      </w:r>
    </w:p>
    <w:p>
      <w:pPr>
        <w:pStyle w:val="BodyText"/>
      </w:pPr>
      <w:r>
        <w:t xml:space="preserve">RIF: J-30456789-1</w:t>
      </w:r>
    </w:p>
    <w:p>
      <w:pPr>
        <w:pStyle w:val="BodyText"/>
      </w:pPr>
      <w:r>
        <w:t xml:space="preserve">Av. Francisco de Miranda, Torre Empresarial, Piso 12, Ofic. 1204</w:t>
      </w:r>
    </w:p>
    <w:p>
      <w:pPr>
        <w:pStyle w:val="BodyText"/>
      </w:pPr>
      <w:r>
        <w:t xml:space="preserve">Chacao, Caracas, Venezuela</w:t>
      </w:r>
    </w:p>
    <w:p>
      <w:pPr>
        <w:pStyle w:val="BodyText"/>
      </w:pPr>
      <w:r>
        <w:t xml:space="preserve">Tel: +58 (212) 778-4455</w:t>
      </w:r>
    </w:p>
    <w:p>
      <w:pPr>
        <w:pStyle w:val="BodyText"/>
      </w:pPr>
      <w:r>
        <w:t xml:space="preserve">Representante Legal: Ing. Carlos Alberto Mendoza</w:t>
      </w:r>
    </w:p>
    <w:p>
      <w:pPr>
        <w:pStyle w:val="BodyText"/>
      </w:pPr>
      <w:r>
        <w:t xml:space="preserve">C.I.: V-12.345.678</w:t>
      </w:r>
    </w:p>
    <w:bookmarkEnd w:id="22"/>
    <w:p>
      <w:pPr>
        <w:pStyle w:val="BodyText"/>
      </w:pPr>
      <w:r>
        <w:rPr>
          <w:bCs/>
          <w:b/>
        </w:rPr>
        <w:t xml:space="preserve">Invoice No.:</w:t>
      </w:r>
      <w:r>
        <w:t xml:space="preserve"> </w:t>
      </w:r>
      <w:r>
        <w:t xml:space="preserve">TJ-CAR-2024-00347</w:t>
      </w:r>
    </w:p>
    <w:p>
      <w:pPr>
        <w:pStyle w:val="BodyText"/>
      </w:pPr>
      <w:r>
        <w:rPr>
          <w:bCs/>
          <w:b/>
        </w:rPr>
        <w:t xml:space="preserve">Date of Issue:</w:t>
      </w:r>
      <w:r>
        <w:t xml:space="preserve"> </w:t>
      </w:r>
      <w:r>
        <w:t xml:space="preserve">15 de Junio, 2024</w:t>
      </w:r>
    </w:p>
    <w:p>
      <w:pPr>
        <w:pStyle w:val="BodyText"/>
      </w:pPr>
      <w:r>
        <w:rPr>
          <w:bCs/>
          <w:b/>
        </w:rPr>
        <w:t xml:space="preserve">Due Date:</w:t>
      </w:r>
      <w:r>
        <w:t xml:space="preserve"> </w:t>
      </w:r>
      <w:r>
        <w:t xml:space="preserve">30 de Junio, 2024</w:t>
      </w:r>
    </w:p>
    <w:p>
      <w:pPr>
        <w:pStyle w:val="BodyText"/>
      </w:pPr>
      <w:r>
        <w:rPr>
          <w:bCs/>
          <w:b/>
        </w:rPr>
        <w:t xml:space="preserve">Case Reference:</w:t>
      </w:r>
      <w:r>
        <w:t xml:space="preserve"> </w:t>
      </w:r>
      <w:r>
        <w:t xml:space="preserve">Expediente N° 24-0012345</w:t>
      </w:r>
    </w:p>
    <w:p>
      <w:pPr>
        <w:pStyle w:val="BodyText"/>
      </w:pPr>
      <w:r>
        <w:rPr>
          <w:bCs/>
          <w:b/>
        </w:rPr>
        <w:t xml:space="preserve">Legal Basis:</w:t>
      </w:r>
      <w:r>
        <w:t xml:space="preserve"> </w:t>
      </w:r>
      <w:r>
        <w:t xml:space="preserve">Art. 265, Código de Procedimiento Civil (Venezuela)</w:t>
      </w:r>
    </w:p>
    <w:p>
      <w:pPr>
        <w:pStyle w:val="BodyText"/>
      </w:pPr>
      <w:r>
        <w:rPr>
          <w:bCs/>
          <w:b/>
        </w:rPr>
        <w:t xml:space="preserve">Currency:</w:t>
      </w:r>
      <w:r>
        <w:t xml:space="preserve"> </w:t>
      </w:r>
      <w:r>
        <w:t xml:space="preserve">Bolívares Soberanos (VES)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Judicial Service</w:t>
            </w:r>
          </w:p>
        </w:tc>
        <w:tc>
          <w:tcPr/>
          <w:p>
            <w:pPr>
              <w:pStyle w:val="Compact"/>
              <w:jc w:val="left"/>
            </w:pPr>
            <w:r>
              <w:t xml:space="preserve">Legal Reference</w:t>
            </w:r>
          </w:p>
        </w:tc>
        <w:tc>
          <w:tcPr/>
          <w:p>
            <w:pPr>
              <w:pStyle w:val="Compact"/>
              <w:jc w:val="left"/>
            </w:pPr>
            <w:r>
              <w:t xml:space="preserve">Quantity</w:t>
            </w:r>
          </w:p>
        </w:tc>
        <w:tc>
          <w:tcPr/>
          <w:p>
            <w:pPr>
              <w:pStyle w:val="Compact"/>
              <w:jc w:val="left"/>
            </w:pPr>
            <w:r>
              <w:t xml:space="preserve">Unit Rate (VES)</w:t>
            </w:r>
          </w:p>
        </w:tc>
        <w:tc>
          <w:tcPr/>
          <w:p>
            <w:pPr>
              <w:pStyle w:val="Compact"/>
              <w:jc w:val="left"/>
            </w:pPr>
            <w:r>
              <w:t xml:space="preserve">Amount (VES)</w:t>
            </w:r>
          </w:p>
        </w:tc>
      </w:tr>
      <w:tr>
        <w:tc>
          <w:tcPr/>
          <w:p>
            <w:pPr>
              <w:pStyle w:val="Compact"/>
              <w:jc w:val="left"/>
            </w:pPr>
            <w:r>
              <w:t xml:space="preserve">1</w:t>
            </w:r>
          </w:p>
        </w:tc>
        <w:tc>
          <w:tcPr/>
          <w:p>
            <w:pPr>
              <w:pStyle w:val="Compact"/>
              <w:jc w:val="left"/>
            </w:pPr>
            <w:r>
              <w:t xml:space="preserve">Official ruling and written judgment issued by the presiding Judge in the civil dispute regarding contractual breach between the parties. Includes comprehensive legal analysis, evidentiary evaluation, and final disposition of the case before the Tribunal in Caracas.</w:t>
            </w:r>
          </w:p>
        </w:tc>
        <w:tc>
          <w:tcPr/>
          <w:p>
            <w:pPr>
              <w:pStyle w:val="Compact"/>
              <w:jc w:val="left"/>
            </w:pPr>
            <w:r>
              <w:t xml:space="preserve">Art. 267, CPC</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Conduct of formal evidentiary hearing (Audiencia de Pruebas) presided by the Judge, including the examination of witnesses, review of documentary evidence, and on-site inspection of the property located in the municipality of Chacao, Caracas. All proceedings recorded in the official case file.</w:t>
            </w:r>
          </w:p>
        </w:tc>
        <w:tc>
          <w:tcPr/>
          <w:p>
            <w:pPr>
              <w:pStyle w:val="Compact"/>
              <w:jc w:val="left"/>
            </w:pPr>
            <w:r>
              <w:t xml:space="preserve">Art. 434-440, CPC</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3</w:t>
            </w:r>
          </w:p>
        </w:tc>
        <w:tc>
          <w:tcPr/>
          <w:p>
            <w:pPr>
              <w:pStyle w:val="Compact"/>
              <w:jc w:val="left"/>
            </w:pPr>
            <w:r>
              <w:t xml:space="preserve">Issuance of court-ordered injunction (Medida Cautelar) and subsequent enforcement order. The Judge authorized the seizure of assets belonging to the defendant to guarantee the satisfaction of the claim. Includes preparation of the enforcement protocol and notification to the relevant Venezuelan authorities.</w:t>
            </w:r>
          </w:p>
        </w:tc>
        <w:tc>
          <w:tcPr/>
          <w:p>
            <w:pPr>
              <w:pStyle w:val="Compact"/>
              <w:jc w:val="left"/>
            </w:pPr>
            <w:r>
              <w:t xml:space="preserve">Art. 585-590, CPC</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Mediation session facilitated by the presiding Judge in accordance with the Venezuelan Mediation Law. The session was held at the Tribunal offices in Caracas and involved both parties and their respective legal counsel. The Judge provided guidance toward a consensual resolution of the dispute.</w:t>
            </w:r>
          </w:p>
        </w:tc>
        <w:tc>
          <w:tcPr/>
          <w:p>
            <w:pPr>
              <w:pStyle w:val="Compact"/>
              <w:jc w:val="left"/>
            </w:pPr>
            <w:r>
              <w:t xml:space="preserve">Ley de Mediación, Art. 12</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Official copies of the judgment, case file documents, and procedural records certified by the Judge and the Tribunal Secretary. Includes notarized copies of the final ruling, the evidentiary transcript, and the enforcement order for use in subsequent appellate proceedings before the Tribunal Superior in Caracas.</w:t>
            </w:r>
          </w:p>
        </w:tc>
        <w:tc>
          <w:tcPr/>
          <w:p>
            <w:pPr>
              <w:pStyle w:val="Compact"/>
              <w:jc w:val="left"/>
            </w:pPr>
            <w:r>
              <w:t xml:space="preserve">Art. 270, CPC</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Administrative and procedural costs associated with the judicial process, including filing fees, publication of notices in the official Venezuelan gazette (Gaceta Oficial), service of process (notificación) to all parties, and maintenance of the case file at the Tribunal in Caracas for the duration of the proceeding.</w:t>
            </w:r>
          </w:p>
        </w:tc>
        <w:tc>
          <w:tcPr/>
          <w:p>
            <w:pPr>
              <w:pStyle w:val="Compact"/>
              <w:jc w:val="left"/>
            </w:pPr>
            <w:r>
              <w:t xml:space="preserve">Arancel Judicial, 2024</w:t>
            </w:r>
          </w:p>
        </w:tc>
        <w:tc>
          <w:tcPr/>
          <w:p>
            <w:pPr>
              <w:pStyle w:val="Compact"/>
              <w:jc w:val="left"/>
            </w:pPr>
            <w:r>
              <w:t xml:space="preserve">1</w:t>
            </w:r>
          </w:p>
        </w:tc>
        <w:tc>
          <w:tcPr/>
          <w:p>
            <w:pPr>
              <w:pStyle w:val="Compact"/>
              <w:jc w:val="left"/>
            </w:pPr>
            <w:r>
              <w:t xml:space="preserve">18.700,00</w:t>
            </w:r>
          </w:p>
        </w:tc>
        <w:tc>
          <w:tcPr/>
          <w:p>
            <w:pPr>
              <w:pStyle w:val="Compact"/>
              <w:jc w:val="left"/>
            </w:pPr>
            <w:r>
              <w:t xml:space="preserve">18.700,00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169.000,00 VES</w:t>
            </w:r>
          </w:p>
        </w:tc>
      </w:tr>
      <w:tr>
        <w:tc>
          <w:tcPr/>
          <w:p>
            <w:pPr>
              <w:pStyle w:val="Compact"/>
              <w:jc w:val="left"/>
            </w:pPr>
            <w:r>
              <w:t xml:space="preserve">IVA (16%) – Ley de IVA, Venezuela</w:t>
            </w:r>
          </w:p>
        </w:tc>
        <w:tc>
          <w:tcPr/>
          <w:p>
            <w:pPr>
              <w:pStyle w:val="Compact"/>
              <w:jc w:val="left"/>
            </w:pPr>
            <w:r>
              <w:t xml:space="preserve">27.040,00 VES</w:t>
            </w:r>
          </w:p>
        </w:tc>
      </w:tr>
      <w:tr>
        <w:tc>
          <w:tcPr/>
          <w:p>
            <w:pPr>
              <w:pStyle w:val="Compact"/>
              <w:jc w:val="left"/>
            </w:pPr>
            <w:r>
              <w:t xml:space="preserve">Arancel Judicial (2%)</w:t>
            </w:r>
          </w:p>
        </w:tc>
        <w:tc>
          <w:tcPr/>
          <w:p>
            <w:pPr>
              <w:pStyle w:val="Compact"/>
              <w:jc w:val="left"/>
            </w:pPr>
            <w:r>
              <w:t xml:space="preserve">3.380,00 VES</w:t>
            </w:r>
          </w:p>
        </w:tc>
      </w:tr>
      <w:tr>
        <w:tc>
          <w:tcPr/>
          <w:p>
            <w:pPr>
              <w:pStyle w:val="Compact"/>
              <w:jc w:val="left"/>
            </w:pPr>
            <w:r>
              <w:t xml:space="preserve">TOTAL DUE</w:t>
            </w:r>
          </w:p>
        </w:tc>
        <w:tc>
          <w:tcPr/>
          <w:p>
            <w:pPr>
              <w:pStyle w:val="Compact"/>
              <w:jc w:val="left"/>
            </w:pPr>
            <w:r>
              <w:t xml:space="preserve">199.420,00 VES</w:t>
            </w:r>
          </w:p>
        </w:tc>
      </w:tr>
    </w:tbl>
    <w:bookmarkStart w:id="23" w:name="payment-terms-and-legal-notes"/>
    <w:p>
      <w:pPr>
        <w:pStyle w:val="Heading4"/>
      </w:pPr>
      <w:r>
        <w:t xml:space="preserve">Payment Terms and Legal Notes</w:t>
      </w:r>
    </w:p>
    <w:p>
      <w:pPr>
        <w:pStyle w:val="FirstParagraph"/>
      </w:pPr>
      <w:r>
        <w:t xml:space="preserve">1. Payment shall be made within fifteen (15) calendar days from the date of issue of this Invoice, in accordance with Article 265 of the Venezuelan Code of Civil Procedure. Payment may be made via bank transfer to the account designated by the Tribunal or in cash at the Tribunal's financial office located in Chacao, Caracas, Venezuela.</w:t>
      </w:r>
    </w:p>
    <w:p>
      <w:pPr>
        <w:pStyle w:val="BodyText"/>
      </w:pPr>
      <w:r>
        <w:t xml:space="preserve">2. This Invoice constitutes the official billing document for all judicial services rendered by the presiding Judge in the referenced case. Failure to settle the amounts indicated within the stipulated period may result in the suspension of procedural acts and the imposition of additional penalties as established by Venezuelan law.</w:t>
      </w:r>
    </w:p>
    <w:p>
      <w:pPr>
        <w:pStyle w:val="BodyText"/>
      </w:pPr>
      <w:r>
        <w:t xml:space="preserve">3. All amounts are expressed in Bolívares Soberanos (VES) and are subject to the exchange rate established by the Banco Central de Venezuela (BCV) on the date of payment. The Judge and the Tribunal reserve the right to adjust amounts in the event of significant currency devaluation.</w:t>
      </w:r>
    </w:p>
    <w:p>
      <w:pPr>
        <w:pStyle w:val="BodyText"/>
      </w:pPr>
      <w:r>
        <w:t xml:space="preserve">4. This document is issued in compliance with the regulations of the Consejo de la Judicatura Nacional of the República Bolivariana de Venezuela and the applicable Venezuelan tax legislation. The RIF number of the issuing judicial body is registered with the Servicio Nacional Integrado de Administración Aduanera y Fiscal (SENIAT).</w:t>
      </w:r>
    </w:p>
    <w:p>
      <w:pPr>
        <w:pStyle w:val="BodyText"/>
      </w:pPr>
      <w:r>
        <w:t xml:space="preserve">5. Any dispute regarding the amounts billed in this Invoice shall be resolved by the superior judicial authority of the Circuito Judicial del Área Metropolitana de Caracas, in accordance with the Venezuelan judicial hierarchy.</w:t>
      </w:r>
    </w:p>
    <w:bookmarkEnd w:id="23"/>
    <w:p>
      <w:pPr>
        <w:pStyle w:val="BodyText"/>
      </w:pPr>
      <w:r>
        <w:t xml:space="preserve">Sello del Tribunal</w:t>
      </w:r>
      <w:r>
        <w:br/>
      </w:r>
      <w:r>
        <w:t xml:space="preserve">(Official Seal)</w:t>
      </w:r>
    </w:p>
    <w:p>
      <w:pPr>
        <w:pStyle w:val="BodyText"/>
      </w:pPr>
      <w:r>
        <w:t xml:space="preserve">Firma del Juez</w:t>
      </w:r>
      <w:r>
        <w:br/>
      </w:r>
      <w:r>
        <w:t xml:space="preserve">(Judge's Signature)</w:t>
      </w:r>
    </w:p>
    <w:p>
      <w:pPr>
        <w:pStyle w:val="BodyText"/>
      </w:pPr>
      <w:r>
        <w:t xml:space="preserve">Firma del Secretario</w:t>
      </w:r>
      <w:r>
        <w:br/>
      </w:r>
      <w:r>
        <w:t xml:space="preserve">(Secretary's Signature)</w:t>
      </w:r>
    </w:p>
    <w:p>
      <w:pPr>
        <w:pStyle w:val="BodyText"/>
      </w:pPr>
      <w:r>
        <w:t xml:space="preserve">This Invoice was issued by the Tribunal de Primera Instancia en lo Civil, Mercantil y del Tránsito del Circuito Judicial del Área Metropolitana de Caracas, República Bolivariana de Venezuela.</w:t>
      </w:r>
    </w:p>
    <w:p>
      <w:pPr>
        <w:pStyle w:val="BodyText"/>
      </w:pPr>
      <w:r>
        <w:t xml:space="preserve">Hon. Judge María Elena Rodríguez Paredes – Juez Titular | RIF: J-00012345-6 | Av. Panteón, Edificio Tribunales, Chacao, Caracas, Venezuela</w:t>
      </w:r>
    </w:p>
    <w:p>
      <w:pPr>
        <w:pStyle w:val="BodyText"/>
      </w:pPr>
      <w:r>
        <w:t xml:space="preserve">Document generated under the authority of the Poder Judicial de la República Bolivariana de Venezuela. All rights reserved. © 2024.</w:t>
      </w:r>
    </w:p>
    <w:p>
      <w:pPr>
        <w:pStyle w:val="BodyText"/>
      </w:pPr>
      <w:r>
        <w:t xml:space="preserve">"La justicia es el fundamento de la paz social" – Constitución de la República Bolivariana de Venezuela, Art. 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Caracas, Venezuela</dc:title>
  <dc:creator/>
  <dc:language>en</dc:language>
  <cp:keywords/>
  <dcterms:created xsi:type="dcterms:W3CDTF">2026-10-10T07:34:30Z</dcterms:created>
  <dcterms:modified xsi:type="dcterms:W3CDTF">2026-10-10T07:34:30Z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