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p>
    <w:bookmarkStart w:id="20" w:name="queensland-clinical-diagnostics"/>
    <w:p>
      <w:pPr>
        <w:pStyle w:val="Heading1"/>
      </w:pPr>
      <w:r>
        <w:t xml:space="preserve">Queensland Clinical Diagnostics</w:t>
      </w:r>
    </w:p>
    <w:p>
      <w:pPr>
        <w:pStyle w:val="FirstParagraph"/>
      </w:pPr>
      <w:r>
        <w:t xml:space="preserve">Level 4, 123 Medical Centre Drive</w:t>
      </w:r>
    </w:p>
    <w:p>
      <w:pPr>
        <w:pStyle w:val="BodyText"/>
      </w:pPr>
      <w:r>
        <w:t xml:space="preserve">New Farm,</w:t>
      </w:r>
      <w:r>
        <w:t xml:space="preserve"> </w:t>
      </w:r>
      <w:r>
        <w:rPr>
          <w:bCs/>
          <w:b/>
        </w:rPr>
        <w:t xml:space="preserve">Australia Brisbane</w:t>
      </w:r>
      <w:r>
        <w:t xml:space="preserve">, QLD 4005</w:t>
      </w:r>
    </w:p>
    <w:p>
      <w:pPr>
        <w:pStyle w:val="BodyText"/>
      </w:pPr>
      <w:r>
        <w:t xml:space="preserve">ABN: 12 345 678 901</w:t>
      </w:r>
    </w:p>
    <w:p>
      <w:pPr>
        <w:pStyle w:val="BodyText"/>
      </w:pPr>
      <w:r>
        <w:t xml:space="preserve">Phone: +61 7 3123 4567</w:t>
      </w:r>
    </w:p>
    <w:p>
      <w:pPr>
        <w:pStyle w:val="BodyText"/>
      </w:pPr>
      <w:r>
        <w:t xml:space="preserve">Email: accounts@qldclinical.com.au</w:t>
      </w:r>
    </w:p>
    <w:bookmarkEnd w:id="20"/>
    <w:bookmarkStart w:id="21" w:name="invoice"/>
    <w:p>
      <w:pPr>
        <w:pStyle w:val="Heading2"/>
      </w:pPr>
      <w:r>
        <w:t xml:space="preserve">INVOICE</w:t>
      </w:r>
    </w:p>
    <w:p>
      <w:pPr>
        <w:pStyle w:val="FirstParagraph"/>
      </w:pPr>
      <w:r>
        <w:rPr>
          <w:bCs/>
          <w:b/>
        </w:rPr>
        <w:t xml:space="preserve">Date:</w:t>
      </w:r>
      <w:r>
        <w:t xml:space="preserve"> </w:t>
      </w:r>
      <w:r>
        <w:t xml:space="preserve">24 October 2023</w:t>
      </w:r>
    </w:p>
    <w:p>
      <w:pPr>
        <w:pStyle w:val="BodyText"/>
      </w:pPr>
      <w:r>
        <w:rPr>
          <w:bCs/>
          <w:b/>
        </w:rPr>
        <w:t xml:space="preserve">Due Date:</w:t>
      </w:r>
      <w:r>
        <w:t xml:space="preserve"> </w:t>
      </w:r>
      <w:r>
        <w:t xml:space="preserve">24 November 2023</w:t>
      </w:r>
    </w:p>
    <w:bookmarkEnd w:id="21"/>
    <w:bookmarkStart w:id="22" w:name="bill-to"/>
    <w:p>
      <w:pPr>
        <w:pStyle w:val="Heading3"/>
      </w:pPr>
      <w:r>
        <w:t xml:space="preserve">Bill To:</w:t>
      </w:r>
    </w:p>
    <w:p>
      <w:pPr>
        <w:pStyle w:val="FirstParagraph"/>
      </w:pPr>
      <w:r>
        <w:rPr>
          <w:bCs/>
          <w:b/>
        </w:rPr>
        <w:t xml:space="preserve">Brisbane General Hospital</w:t>
      </w:r>
    </w:p>
    <w:p>
      <w:pPr>
        <w:pStyle w:val="BodyText"/>
      </w:pPr>
      <w:r>
        <w:t xml:space="preserve">Attn: Procurement Department</w:t>
      </w:r>
    </w:p>
    <w:p>
      <w:pPr>
        <w:pStyle w:val="BodyText"/>
      </w:pPr>
      <w:r>
        <w:t xml:space="preserve">146 Herston Road</w:t>
      </w:r>
    </w:p>
    <w:p>
      <w:pPr>
        <w:pStyle w:val="BodyText"/>
      </w:pPr>
      <w:r>
        <w:t xml:space="preserve">Herston,</w:t>
      </w:r>
      <w:r>
        <w:t xml:space="preserve"> </w:t>
      </w:r>
      <w:r>
        <w:rPr>
          <w:bCs/>
          <w:b/>
        </w:rPr>
        <w:t xml:space="preserve">Australia Brisbane</w:t>
      </w:r>
      <w:r>
        <w:t xml:space="preserve">, QLD 4006</w:t>
      </w:r>
    </w:p>
    <w:p>
      <w:pPr>
        <w:pStyle w:val="BodyText"/>
      </w:pPr>
      <w:r>
        <w:t xml:space="preserve">ABN: 98 765 432 109</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INV-2023-0892</w:t>
      </w:r>
    </w:p>
    <w:p>
      <w:pPr>
        <w:pStyle w:val="BodyText"/>
      </w:pPr>
      <w:r>
        <w:rPr>
          <w:bCs/>
          <w:b/>
        </w:rPr>
        <w:t xml:space="preserve">Service Period:</w:t>
      </w:r>
      <w:r>
        <w:t xml:space="preserve"> </w:t>
      </w:r>
      <w:r>
        <w:t xml:space="preserve">01 Oct 2023 - 31 Oct 2023</w:t>
      </w:r>
    </w:p>
    <w:p>
      <w:pPr>
        <w:pStyle w:val="BodyText"/>
      </w:pPr>
      <w:r>
        <w:rPr>
          <w:bCs/>
          <w:b/>
        </w:rPr>
        <w:t xml:space="preserve">Project:</w:t>
      </w:r>
      <w:r>
        <w:t xml:space="preserve"> </w:t>
      </w:r>
      <w:r>
        <w:t xml:space="preserve">Pathology Support Services</w:t>
      </w:r>
    </w:p>
    <w:p>
      <w:pPr>
        <w:pStyle w:val="BodyText"/>
      </w:pPr>
      <w:r>
        <w:rPr>
          <w:bCs/>
          <w:b/>
        </w:rPr>
        <w:t xml:space="preserve">Payment Terms:</w:t>
      </w:r>
      <w:r>
        <w:t xml:space="preserve"> </w:t>
      </w:r>
      <w:r>
        <w:t xml:space="preserve">Net 30 Days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Senior Laboratory Technician - Hematology Analysis</w:t>
            </w:r>
            <w:r>
              <w:br/>
            </w:r>
            <w:r>
              <w:t xml:space="preserve">Provision of specialized technical support for automated hematology analyzers. Includes daily calibration, quality control checks, and sample processing in accordance with National Association of Testing Authorities (NATA) standards.</w:t>
            </w:r>
          </w:p>
        </w:tc>
        <w:tc>
          <w:tcPr/>
          <w:p>
            <w:pPr>
              <w:pStyle w:val="Compact"/>
              <w:jc w:val="left"/>
            </w:pPr>
            <w:r>
              <w:t xml:space="preserve">80.0</w:t>
            </w:r>
          </w:p>
        </w:tc>
        <w:tc>
          <w:tcPr/>
          <w:p>
            <w:pPr>
              <w:pStyle w:val="Compact"/>
              <w:jc w:val="left"/>
            </w:pPr>
            <w:r>
              <w:t xml:space="preserve">145.00</w:t>
            </w:r>
          </w:p>
        </w:tc>
        <w:tc>
          <w:tcPr/>
          <w:p>
            <w:pPr>
              <w:pStyle w:val="Compact"/>
              <w:jc w:val="left"/>
            </w:pPr>
            <w:r>
              <w:t xml:space="preserve">11,600.00</w:t>
            </w:r>
          </w:p>
        </w:tc>
      </w:tr>
      <w:tr>
        <w:tc>
          <w:tcPr/>
          <w:p>
            <w:pPr>
              <w:pStyle w:val="Compact"/>
              <w:jc w:val="left"/>
            </w:pPr>
            <w:r>
              <w:t xml:space="preserve">2</w:t>
            </w:r>
          </w:p>
        </w:tc>
        <w:tc>
          <w:tcPr/>
          <w:p>
            <w:pPr>
              <w:pStyle w:val="Compact"/>
              <w:jc w:val="left"/>
            </w:pPr>
            <w:r>
              <w:rPr>
                <w:bCs/>
                <w:b/>
              </w:rPr>
              <w:t xml:space="preserve">Laboratory Technician - Biochemistry Profiling</w:t>
            </w:r>
            <w:r>
              <w:br/>
            </w:r>
            <w:r>
              <w:t xml:space="preserve">Execution of complex biochemical assays and metabolic panels. Ensuring strict adherence to biosafety protocols within the Brisbane facility. Includes maintenance of reagent inventory and waste disposal compliance.</w:t>
            </w:r>
          </w:p>
        </w:tc>
        <w:tc>
          <w:tcPr/>
          <w:p>
            <w:pPr>
              <w:pStyle w:val="Compact"/>
              <w:jc w:val="left"/>
            </w:pPr>
            <w:r>
              <w:t xml:space="preserve">60.0</w:t>
            </w:r>
          </w:p>
        </w:tc>
        <w:tc>
          <w:tcPr/>
          <w:p>
            <w:pPr>
              <w:pStyle w:val="Compact"/>
              <w:jc w:val="left"/>
            </w:pPr>
            <w:r>
              <w:t xml:space="preserve">135.00</w:t>
            </w:r>
          </w:p>
        </w:tc>
        <w:tc>
          <w:tcPr/>
          <w:p>
            <w:pPr>
              <w:pStyle w:val="Compact"/>
              <w:jc w:val="left"/>
            </w:pPr>
            <w:r>
              <w:t xml:space="preserve">8,100.00</w:t>
            </w:r>
          </w:p>
        </w:tc>
      </w:tr>
      <w:tr>
        <w:tc>
          <w:tcPr/>
          <w:p>
            <w:pPr>
              <w:pStyle w:val="Compact"/>
              <w:jc w:val="left"/>
            </w:pPr>
            <w:r>
              <w:t xml:space="preserve">3</w:t>
            </w:r>
          </w:p>
        </w:tc>
        <w:tc>
          <w:tcPr/>
          <w:p>
            <w:pPr>
              <w:pStyle w:val="Compact"/>
              <w:jc w:val="left"/>
            </w:pPr>
            <w:r>
              <w:rPr>
                <w:bCs/>
                <w:b/>
              </w:rPr>
              <w:t xml:space="preserve">Microbiology Culture &amp; Identification</w:t>
            </w:r>
            <w:r>
              <w:br/>
            </w:r>
            <w:r>
              <w:t xml:space="preserve">Isolation and identification of pathogenic organisms. Preparation of culture media and sensitivity testing. Critical support for infectious disease monitoring in the</w:t>
            </w:r>
            <w:r>
              <w:t xml:space="preserve"> </w:t>
            </w:r>
            <w:r>
              <w:rPr>
                <w:bCs/>
                <w:b/>
              </w:rPr>
              <w:t xml:space="preserve">Australia Brisbane</w:t>
            </w:r>
            <w:r>
              <w:t xml:space="preserve"> </w:t>
            </w:r>
            <w:r>
              <w:t xml:space="preserve">metropolitan region.</w:t>
            </w:r>
          </w:p>
        </w:tc>
        <w:tc>
          <w:tcPr/>
          <w:p>
            <w:pPr>
              <w:pStyle w:val="Compact"/>
              <w:jc w:val="left"/>
            </w:pPr>
            <w:r>
              <w:t xml:space="preserve">40.0</w:t>
            </w:r>
          </w:p>
        </w:tc>
        <w:tc>
          <w:tcPr/>
          <w:p>
            <w:pPr>
              <w:pStyle w:val="Compact"/>
              <w:jc w:val="left"/>
            </w:pPr>
            <w:r>
              <w:t xml:space="preserve">140.00</w:t>
            </w:r>
          </w:p>
        </w:tc>
        <w:tc>
          <w:tcPr/>
          <w:p>
            <w:pPr>
              <w:pStyle w:val="Compact"/>
              <w:jc w:val="left"/>
            </w:pPr>
            <w:r>
              <w:t xml:space="preserve">5,600.00</w:t>
            </w:r>
          </w:p>
        </w:tc>
      </w:tr>
      <w:tr>
        <w:tc>
          <w:tcPr/>
          <w:p>
            <w:pPr>
              <w:pStyle w:val="Compact"/>
              <w:jc w:val="left"/>
            </w:pPr>
            <w:r>
              <w:t xml:space="preserve">4</w:t>
            </w:r>
          </w:p>
        </w:tc>
        <w:tc>
          <w:tcPr/>
          <w:p>
            <w:pPr>
              <w:pStyle w:val="Compact"/>
              <w:jc w:val="left"/>
            </w:pPr>
            <w:r>
              <w:rPr>
                <w:bCs/>
                <w:b/>
              </w:rPr>
              <w:t xml:space="preserve">Equipment Maintenance &amp; Troubleshooting</w:t>
            </w:r>
            <w:r>
              <w:br/>
            </w:r>
            <w:r>
              <w:t xml:space="preserve">Preventative maintenance on centrifuges, spectrophotometers, and PCR machines. Immediate response to technical faults to minimize downtime in the clinical laboratory environment.</w:t>
            </w:r>
          </w:p>
        </w:tc>
        <w:tc>
          <w:tcPr/>
          <w:p>
            <w:pPr>
              <w:pStyle w:val="Compact"/>
              <w:jc w:val="left"/>
            </w:pPr>
            <w:r>
              <w:t xml:space="preserve">15.0</w:t>
            </w:r>
          </w:p>
        </w:tc>
        <w:tc>
          <w:tcPr/>
          <w:p>
            <w:pPr>
              <w:pStyle w:val="Compact"/>
              <w:jc w:val="left"/>
            </w:pPr>
            <w:r>
              <w:t xml:space="preserve">160.00</w:t>
            </w:r>
          </w:p>
        </w:tc>
        <w:tc>
          <w:tcPr/>
          <w:p>
            <w:pPr>
              <w:pStyle w:val="Compact"/>
              <w:jc w:val="left"/>
            </w:pPr>
            <w:r>
              <w:t xml:space="preserve">2,400.00</w:t>
            </w:r>
          </w:p>
        </w:tc>
      </w:tr>
      <w:tr>
        <w:tc>
          <w:tcPr/>
          <w:p>
            <w:pPr>
              <w:pStyle w:val="Compact"/>
              <w:jc w:val="left"/>
            </w:pPr>
            <w:r>
              <w:t xml:space="preserve">5</w:t>
            </w:r>
          </w:p>
        </w:tc>
        <w:tc>
          <w:tcPr/>
          <w:p>
            <w:pPr>
              <w:pStyle w:val="Compact"/>
              <w:jc w:val="left"/>
            </w:pPr>
            <w:r>
              <w:rPr>
                <w:bCs/>
                <w:b/>
              </w:rPr>
              <w:t xml:space="preserve">Compliance &amp; Documentation Review</w:t>
            </w:r>
            <w:r>
              <w:br/>
            </w:r>
            <w:r>
              <w:t xml:space="preserve">Updating Standard Operating Procedures (SOPs) to align with current Australian Therapeutic Goods Administration (TGA) regulations. Documentation of chain of custody for all biological samples processed.</w:t>
            </w:r>
          </w:p>
        </w:tc>
        <w:tc>
          <w:tcPr/>
          <w:p>
            <w:pPr>
              <w:pStyle w:val="Compact"/>
              <w:jc w:val="left"/>
            </w:pPr>
            <w:r>
              <w:t xml:space="preserve">10.0</w:t>
            </w:r>
          </w:p>
        </w:tc>
        <w:tc>
          <w:tcPr/>
          <w:p>
            <w:pPr>
              <w:pStyle w:val="Compact"/>
              <w:jc w:val="left"/>
            </w:pPr>
            <w:r>
              <w:t xml:space="preserve">150.00</w:t>
            </w:r>
          </w:p>
        </w:tc>
        <w:tc>
          <w:tcPr/>
          <w:p>
            <w:pPr>
              <w:pStyle w:val="Compact"/>
              <w:jc w:val="left"/>
            </w:pPr>
            <w:r>
              <w:t xml:space="preserve">1,500.00</w:t>
            </w:r>
          </w:p>
        </w:tc>
      </w:tr>
    </w:tbl>
    <w:p>
      <w:pPr>
        <w:pStyle w:val="BodyText"/>
      </w:pPr>
      <w:r>
        <w:t xml:space="preserve">Subtotal:</w:t>
      </w:r>
      <w:r>
        <w:t xml:space="preserve"> </w:t>
      </w:r>
      <w:r>
        <w:t xml:space="preserve">$29,200.00</w:t>
      </w:r>
    </w:p>
    <w:p>
      <w:pPr>
        <w:pStyle w:val="BodyText"/>
      </w:pPr>
      <w:r>
        <w:t xml:space="preserve">GST (10%):</w:t>
      </w:r>
      <w:r>
        <w:t xml:space="preserve"> </w:t>
      </w:r>
      <w:r>
        <w:t xml:space="preserve">$2,920.00</w:t>
      </w:r>
    </w:p>
    <w:p>
      <w:pPr>
        <w:pStyle w:val="BodyText"/>
      </w:pPr>
      <w:r>
        <w:t xml:space="preserve">Total Due (AUD):</w:t>
      </w:r>
      <w:r>
        <w:t xml:space="preserve"> </w:t>
      </w:r>
      <w:r>
        <w:t xml:space="preserve">$32,120.00</w:t>
      </w:r>
    </w:p>
    <w:bookmarkStart w:id="24" w:name="terms-and-conditions"/>
    <w:p>
      <w:pPr>
        <w:pStyle w:val="Heading3"/>
      </w:pPr>
      <w:r>
        <w:t xml:space="preserve">Terms and Conditions</w:t>
      </w:r>
    </w:p>
    <w:p>
      <w:pPr>
        <w:pStyle w:val="FirstParagraph"/>
      </w:pPr>
      <w:r>
        <w:t xml:space="preserve">This</w:t>
      </w:r>
      <w:r>
        <w:t xml:space="preserve"> </w:t>
      </w:r>
      <w:r>
        <w:rPr>
          <w:bCs/>
          <w:b/>
        </w:rPr>
        <w:t xml:space="preserve">Invoice</w:t>
      </w:r>
      <w:r>
        <w:t xml:space="preserve"> </w:t>
      </w:r>
      <w:r>
        <w:t xml:space="preserve">represents the final settlement for professional services rendered by qualified</w:t>
      </w:r>
      <w:r>
        <w:t xml:space="preserve"> </w:t>
      </w:r>
      <w:r>
        <w:rPr>
          <w:bCs/>
          <w:b/>
        </w:rPr>
        <w:t xml:space="preserve">Laboratory Technician</w:t>
      </w:r>
      <w:r>
        <w:t xml:space="preserve"> </w:t>
      </w:r>
      <w:r>
        <w:t xml:space="preserve">personnel during the specified period. All rates quoted are in Australian Dollars (AUD) and are inclusive of applicable superannuation contributions as per Australian employment law.</w:t>
      </w:r>
    </w:p>
    <w:p>
      <w:pPr>
        <w:pStyle w:val="BodyText"/>
      </w:pPr>
      <w:r>
        <w:t xml:space="preserve">Payment is due within 30 days of the invoice date. Please make payments via Electronic Funds Transfer (EFT) to the account details provided below. Late payments may incur interest charges in accordance with the Trade Practices Act.</w:t>
      </w:r>
    </w:p>
    <w:p>
      <w:pPr>
        <w:pStyle w:val="BodyText"/>
      </w:pPr>
      <w:r>
        <w:rPr>
          <w:bCs/>
          <w:b/>
        </w:rPr>
        <w:t xml:space="preserve">Bank Details:</w:t>
      </w:r>
      <w:r>
        <w:br/>
      </w:r>
      <w:r>
        <w:t xml:space="preserve">Bank: Commonwealth Bank of Australia</w:t>
      </w:r>
      <w:r>
        <w:br/>
      </w:r>
      <w:r>
        <w:t xml:space="preserve">BSB: 062-000</w:t>
      </w:r>
      <w:r>
        <w:br/>
      </w:r>
      <w:r>
        <w:t xml:space="preserve">Account Name: Queensland Clinical Diagnostics Pty Ltd</w:t>
      </w:r>
      <w:r>
        <w:br/>
      </w:r>
      <w:r>
        <w:t xml:space="preserve">Account Number: 1234 5678</w:t>
      </w:r>
      <w:r>
        <w:br/>
      </w:r>
      <w:r>
        <w:t xml:space="preserve">Reference: INV-2023-0892</w:t>
      </w:r>
    </w:p>
    <w:p>
      <w:pPr>
        <w:pStyle w:val="BodyText"/>
      </w:pPr>
      <w:r>
        <w:t xml:space="preserve">All services were performed in strict compliance with the safety and regulatory standards required for medical laboratories in</w:t>
      </w:r>
      <w:r>
        <w:t xml:space="preserve"> </w:t>
      </w:r>
      <w:r>
        <w:rPr>
          <w:bCs/>
          <w:b/>
        </w:rPr>
        <w:t xml:space="preserve">Australia Brisbane</w:t>
      </w:r>
      <w:r>
        <w:t xml:space="preserve">. Any disputes regarding this invoice must be raised in writing within 7 days of receipt.</w:t>
      </w:r>
    </w:p>
    <w:bookmarkEnd w:id="24"/>
    <w:p>
      <w:pPr>
        <w:pStyle w:val="BodyText"/>
      </w:pPr>
      <w:r>
        <w:t xml:space="preserve">Queensland Clinical Diagnostics Pty Ltd | ABN 12 345 678 901</w:t>
      </w:r>
    </w:p>
    <w:p>
      <w:pPr>
        <w:pStyle w:val="BodyText"/>
      </w:pPr>
      <w:r>
        <w:t xml:space="preserve">Providing expert Laboratory Technician solutions across Australia Brisbane and Queensland.</w:t>
      </w:r>
    </w:p>
    <w:p>
      <w:pPr>
        <w:pStyle w:val="BodyText"/>
      </w:pP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dc:title>
  <dc:creator/>
  <dc:language>en</dc:language>
  <cp:keywords/>
  <dcterms:created xsi:type="dcterms:W3CDTF">2026-10-10T06:26:11Z</dcterms:created>
  <dcterms:modified xsi:type="dcterms:W3CDTF">2026-10-10T06:26:11Z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