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Lima,</w:t>
      </w:r>
      <w:r>
        <w:t xml:space="preserve"> </w:t>
      </w:r>
      <w:r>
        <w:t xml:space="preserve">Peru</w:t>
      </w:r>
    </w:p>
    <w:bookmarkStart w:id="20" w:name="biolab-solutions-peru-s.a.c."/>
    <w:p>
      <w:pPr>
        <w:pStyle w:val="Heading1"/>
      </w:pPr>
      <w:r>
        <w:t xml:space="preserve">BIOLAB SOLUTIONS PERU S.A.C.</w:t>
      </w:r>
    </w:p>
    <w:p>
      <w:pPr>
        <w:pStyle w:val="FirstParagraph"/>
      </w:pPr>
      <w:r>
        <w:t xml:space="preserve">Av. Javier Prado Este 4580, San Isidro</w:t>
      </w:r>
    </w:p>
    <w:p>
      <w:pPr>
        <w:pStyle w:val="BodyText"/>
      </w:pPr>
      <w:r>
        <w:t xml:space="preserve">Lima 27, Peru</w:t>
      </w:r>
    </w:p>
    <w:p>
      <w:pPr>
        <w:pStyle w:val="BodyText"/>
      </w:pPr>
      <w:r>
        <w:t xml:space="preserve">RUC: 20601234567</w:t>
      </w:r>
    </w:p>
    <w:p>
      <w:pPr>
        <w:pStyle w:val="BodyText"/>
      </w:pPr>
      <w:r>
        <w:t xml:space="preserve">Phone: +51 (1) 456-7890</w:t>
      </w:r>
    </w:p>
    <w:p>
      <w:pPr>
        <w:pStyle w:val="BodyText"/>
      </w:pPr>
      <w:r>
        <w:t xml:space="preserve">Email: billing@biolabsolutions.pe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Lab Tech Contract - Q4 2023</w:t>
      </w:r>
    </w:p>
    <w:bookmarkEnd w:id="21"/>
    <w:bookmarkStart w:id="22" w:name="billed-to-client"/>
    <w:p>
      <w:pPr>
        <w:pStyle w:val="Heading3"/>
      </w:pPr>
      <w:r>
        <w:t xml:space="preserve">Billed To (Client)</w:t>
      </w:r>
    </w:p>
    <w:p>
      <w:pPr>
        <w:pStyle w:val="FirstParagraph"/>
      </w:pPr>
      <w:r>
        <w:rPr>
          <w:bCs/>
          <w:b/>
        </w:rPr>
        <w:t xml:space="preserve">Hospital Nacional Cayetano Heredia</w:t>
      </w:r>
    </w:p>
    <w:p>
      <w:pPr>
        <w:pStyle w:val="BodyText"/>
      </w:pPr>
      <w:r>
        <w:t xml:space="preserve">Av. Honorio Delgado 430, Santiago de Surco</w:t>
      </w:r>
    </w:p>
    <w:p>
      <w:pPr>
        <w:pStyle w:val="BodyText"/>
      </w:pPr>
      <w:r>
        <w:t xml:space="preserve">Lima 33, Peru</w:t>
      </w:r>
    </w:p>
    <w:p>
      <w:pPr>
        <w:pStyle w:val="BodyText"/>
      </w:pPr>
      <w:r>
        <w:t xml:space="preserve">RUC: 20001234567</w:t>
      </w:r>
    </w:p>
    <w:p>
      <w:pPr>
        <w:pStyle w:val="BodyText"/>
      </w:pPr>
      <w:r>
        <w:t xml:space="preserve">Contact: Procurement Department</w:t>
      </w:r>
    </w:p>
    <w:bookmarkEnd w:id="22"/>
    <w:bookmarkStart w:id="23" w:name="service-provider"/>
    <w:p>
      <w:pPr>
        <w:pStyle w:val="Heading3"/>
      </w:pPr>
      <w:r>
        <w:t xml:space="preserve">Service Provider</w:t>
      </w:r>
    </w:p>
    <w:p>
      <w:pPr>
        <w:pStyle w:val="FirstParagraph"/>
      </w:pPr>
      <w:r>
        <w:rPr>
          <w:bCs/>
          <w:b/>
        </w:rPr>
        <w:t xml:space="preserve">Dr. Carlos Mendoza</w:t>
      </w:r>
    </w:p>
    <w:p>
      <w:pPr>
        <w:pStyle w:val="BodyText"/>
      </w:pPr>
      <w:r>
        <w:t xml:space="preserve">Certified Laboratory Technician</w:t>
      </w:r>
    </w:p>
    <w:p>
      <w:pPr>
        <w:pStyle w:val="BodyText"/>
      </w:pPr>
      <w:r>
        <w:t xml:space="preserve">DNI: 76543210</w:t>
      </w:r>
    </w:p>
    <w:p>
      <w:pPr>
        <w:pStyle w:val="BodyText"/>
      </w:pPr>
      <w:r>
        <w:t xml:space="preserve">Professional License No.: 456789</w:t>
      </w:r>
    </w:p>
    <w:p>
      <w:pPr>
        <w:pStyle w:val="BodyText"/>
      </w:pPr>
      <w:r>
        <w:t xml:space="preserve">Location: Lima, Peru</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c>
          <w:tcPr/>
          <w:p>
            <w:pPr>
              <w:pStyle w:val="Compact"/>
              <w:jc w:val="left"/>
            </w:pPr>
            <w:r>
              <w:t xml:space="preserve">IGV (18%)</w:t>
            </w:r>
          </w:p>
        </w:tc>
      </w:tr>
      <w:tr>
        <w:tc>
          <w:tcPr/>
          <w:p>
            <w:pPr>
              <w:pStyle w:val="Compact"/>
              <w:jc w:val="left"/>
            </w:pPr>
            <w:r>
              <w:t xml:space="preserve">1</w:t>
            </w:r>
          </w:p>
        </w:tc>
        <w:tc>
          <w:tcPr/>
          <w:p>
            <w:pPr>
              <w:pStyle w:val="Compact"/>
              <w:jc w:val="left"/>
            </w:pPr>
            <w:r>
              <w:rPr>
                <w:bCs/>
                <w:b/>
              </w:rPr>
              <w:t xml:space="preserve">Specialized Laboratory Technician Consultation</w:t>
            </w:r>
            <w:r>
              <w:br/>
            </w:r>
            <w:r>
              <w:t xml:space="preserve">Provision of expert technical assistance for the calibration and maintenance of hematology analyzers in the central laboratory. This service ensures compliance with Peruvian health regulations and international ISO standards for diagnostic accuracy.</w:t>
            </w:r>
          </w:p>
        </w:tc>
        <w:tc>
          <w:tcPr/>
          <w:p>
            <w:pPr>
              <w:pStyle w:val="Compact"/>
              <w:jc w:val="left"/>
            </w:pPr>
            <w:r>
              <w:t xml:space="preserve">10 hrs</w:t>
            </w:r>
          </w:p>
        </w:tc>
        <w:tc>
          <w:tcPr/>
          <w:p>
            <w:pPr>
              <w:pStyle w:val="Compact"/>
              <w:jc w:val="left"/>
            </w:pPr>
            <w:r>
              <w:t xml:space="preserve">150.00</w:t>
            </w:r>
          </w:p>
        </w:tc>
        <w:tc>
          <w:tcPr/>
          <w:p>
            <w:pPr>
              <w:pStyle w:val="Compact"/>
              <w:jc w:val="left"/>
            </w:pPr>
            <w:r>
              <w:t xml:space="preserve">1,500.00</w:t>
            </w:r>
          </w:p>
        </w:tc>
        <w:tc>
          <w:tcPr/>
          <w:p>
            <w:pPr>
              <w:pStyle w:val="Compact"/>
              <w:jc w:val="left"/>
            </w:pPr>
            <w:r>
              <w:t xml:space="preserve">270.00</w:t>
            </w:r>
          </w:p>
        </w:tc>
      </w:tr>
      <w:tr>
        <w:tc>
          <w:tcPr/>
          <w:p>
            <w:pPr>
              <w:pStyle w:val="Compact"/>
              <w:jc w:val="left"/>
            </w:pPr>
            <w:r>
              <w:t xml:space="preserve">2</w:t>
            </w:r>
          </w:p>
        </w:tc>
        <w:tc>
          <w:tcPr/>
          <w:p>
            <w:pPr>
              <w:pStyle w:val="Compact"/>
              <w:jc w:val="left"/>
            </w:pPr>
            <w:r>
              <w:rPr>
                <w:bCs/>
                <w:b/>
              </w:rPr>
              <w:t xml:space="preserve">Clinical Sample Analysis &amp; Quality Control</w:t>
            </w:r>
            <w:r>
              <w:br/>
            </w:r>
            <w:r>
              <w:t xml:space="preserve">Execution of complex serological tests and microbiological cultures. Includes detailed reporting of results for patient diagnostics, ensuring high precision in the detection of infectious diseases prevalent in the Lima metropolitan area.</w:t>
            </w:r>
          </w:p>
        </w:tc>
        <w:tc>
          <w:tcPr/>
          <w:p>
            <w:pPr>
              <w:pStyle w:val="Compact"/>
              <w:jc w:val="left"/>
            </w:pPr>
            <w:r>
              <w:t xml:space="preserve">50 units</w:t>
            </w:r>
          </w:p>
        </w:tc>
        <w:tc>
          <w:tcPr/>
          <w:p>
            <w:pPr>
              <w:pStyle w:val="Compact"/>
              <w:jc w:val="left"/>
            </w:pPr>
            <w:r>
              <w:t xml:space="preserve">45.00</w:t>
            </w:r>
          </w:p>
        </w:tc>
        <w:tc>
          <w:tcPr/>
          <w:p>
            <w:pPr>
              <w:pStyle w:val="Compact"/>
              <w:jc w:val="left"/>
            </w:pPr>
            <w:r>
              <w:t xml:space="preserve">2,250.00</w:t>
            </w:r>
          </w:p>
        </w:tc>
        <w:tc>
          <w:tcPr/>
          <w:p>
            <w:pPr>
              <w:pStyle w:val="Compact"/>
              <w:jc w:val="left"/>
            </w:pPr>
            <w:r>
              <w:t xml:space="preserve">405.00</w:t>
            </w:r>
          </w:p>
        </w:tc>
      </w:tr>
      <w:tr>
        <w:tc>
          <w:tcPr/>
          <w:p>
            <w:pPr>
              <w:pStyle w:val="Compact"/>
              <w:jc w:val="left"/>
            </w:pPr>
            <w:r>
              <w:t xml:space="preserve">3</w:t>
            </w:r>
          </w:p>
        </w:tc>
        <w:tc>
          <w:tcPr/>
          <w:p>
            <w:pPr>
              <w:pStyle w:val="Compact"/>
              <w:jc w:val="left"/>
            </w:pPr>
            <w:r>
              <w:rPr>
                <w:bCs/>
                <w:b/>
              </w:rPr>
              <w:t xml:space="preserve">Laboratory Safety Audit &amp; Protocol Training</w:t>
            </w:r>
            <w:r>
              <w:br/>
            </w:r>
            <w:r>
              <w:t xml:space="preserve">Comprehensive review of biosafety protocols within the facility. Training provided to junior staff on the proper handling of hazardous biological materials, aligning with Ministry of Health guidelines for laboratories in Peru.</w:t>
            </w:r>
          </w:p>
        </w:tc>
        <w:tc>
          <w:tcPr/>
          <w:p>
            <w:pPr>
              <w:pStyle w:val="Compact"/>
              <w:jc w:val="left"/>
            </w:pPr>
            <w:r>
              <w:t xml:space="preserve">1 session</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144.00</w:t>
            </w:r>
          </w:p>
        </w:tc>
      </w:tr>
      <w:tr>
        <w:tc>
          <w:tcPr/>
          <w:p>
            <w:pPr>
              <w:pStyle w:val="Compact"/>
              <w:jc w:val="left"/>
            </w:pPr>
            <w:r>
              <w:t xml:space="preserve">4</w:t>
            </w:r>
          </w:p>
        </w:tc>
        <w:tc>
          <w:tcPr/>
          <w:p>
            <w:pPr>
              <w:pStyle w:val="Compact"/>
              <w:jc w:val="left"/>
            </w:pPr>
            <w:r>
              <w:rPr>
                <w:bCs/>
                <w:b/>
              </w:rPr>
              <w:t xml:space="preserve">Equipment Troubleshooting &amp; Repair</w:t>
            </w:r>
            <w:r>
              <w:br/>
            </w:r>
            <w:r>
              <w:t xml:space="preserve">On-site diagnosis and repair of malfunctioning centrifuges and spectrophotometers. Includes replacement of minor components and verification of operational integrity to minimize downtime in critical care diagnostics.</w:t>
            </w:r>
          </w:p>
        </w:tc>
        <w:tc>
          <w:tcPr/>
          <w:p>
            <w:pPr>
              <w:pStyle w:val="Compact"/>
              <w:jc w:val="left"/>
            </w:pPr>
            <w:r>
              <w:t xml:space="preserve">3 units</w:t>
            </w:r>
          </w:p>
        </w:tc>
        <w:tc>
          <w:tcPr/>
          <w:p>
            <w:pPr>
              <w:pStyle w:val="Compact"/>
              <w:jc w:val="left"/>
            </w:pPr>
            <w:r>
              <w:t xml:space="preserve">200.00</w:t>
            </w:r>
          </w:p>
        </w:tc>
        <w:tc>
          <w:tcPr/>
          <w:p>
            <w:pPr>
              <w:pStyle w:val="Compact"/>
              <w:jc w:val="left"/>
            </w:pPr>
            <w:r>
              <w:t xml:space="preserve">600.00</w:t>
            </w:r>
          </w:p>
        </w:tc>
        <w:tc>
          <w:tcPr/>
          <w:p>
            <w:pPr>
              <w:pStyle w:val="Compact"/>
              <w:jc w:val="left"/>
            </w:pPr>
            <w:r>
              <w:t xml:space="preserve">108.00</w:t>
            </w:r>
          </w:p>
        </w:tc>
      </w:tr>
      <w:tr>
        <w:tc>
          <w:tcPr/>
          <w:p>
            <w:pPr>
              <w:pStyle w:val="Compact"/>
              <w:jc w:val="left"/>
            </w:pPr>
            <w:r>
              <w:t xml:space="preserve">5</w:t>
            </w:r>
          </w:p>
        </w:tc>
        <w:tc>
          <w:tcPr/>
          <w:p>
            <w:pPr>
              <w:pStyle w:val="Compact"/>
              <w:jc w:val="left"/>
            </w:pPr>
            <w:r>
              <w:rPr>
                <w:bCs/>
                <w:b/>
              </w:rPr>
              <w:t xml:space="preserve">Technical Report Generation</w:t>
            </w:r>
            <w:r>
              <w:br/>
            </w:r>
            <w:r>
              <w:t xml:space="preserve">Compilation of monthly performance data, error rate analysis, and efficiency metrics for the laboratory department. This report aids management in strategic planning and resource allocation for the upcoming fiscal quarter.</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63.00</w:t>
            </w:r>
          </w:p>
        </w:tc>
      </w:tr>
    </w:tbl>
    <w:p>
      <w:pPr>
        <w:pStyle w:val="BodyText"/>
      </w:pPr>
      <w:r>
        <w:t xml:space="preserve">Subtotal:</w:t>
      </w:r>
      <w:r>
        <w:t xml:space="preserve"> </w:t>
      </w:r>
      <w:r>
        <w:t xml:space="preserve">5,500.00 PEN</w:t>
      </w:r>
    </w:p>
    <w:p>
      <w:pPr>
        <w:pStyle w:val="BodyText"/>
      </w:pPr>
      <w:r>
        <w:t xml:space="preserve">IGV (18% VAT):</w:t>
      </w:r>
      <w:r>
        <w:t xml:space="preserve"> </w:t>
      </w:r>
      <w:r>
        <w:t xml:space="preserve">990.00 PEN</w:t>
      </w:r>
    </w:p>
    <w:p>
      <w:pPr>
        <w:pStyle w:val="BodyText"/>
      </w:pPr>
      <w:r>
        <w:t xml:space="preserve">TOTAL AMOUNT DUE:</w:t>
      </w:r>
      <w:r>
        <w:t xml:space="preserve"> </w:t>
      </w:r>
      <w:r>
        <w:t xml:space="preserve">6,490.00 PEN</w:t>
      </w:r>
    </w:p>
    <w:bookmarkStart w:id="24" w:name="important-notes-terms"/>
    <w:p>
      <w:pPr>
        <w:pStyle w:val="Heading4"/>
      </w:pPr>
      <w:r>
        <w:t xml:space="preserve">Important Notes &amp; Terms:</w:t>
      </w:r>
    </w:p>
    <w:p>
      <w:pPr>
        <w:numPr>
          <w:ilvl w:val="0"/>
          <w:numId w:val="1001"/>
        </w:numPr>
        <w:pStyle w:val="Compact"/>
      </w:pPr>
      <w:r>
        <w:t xml:space="preserve">This Invoice is issued in accordance with the tax regulations of the Superintendencia Nacional de Aduanas y de Administración Tributaria (SUNAT) of Peru.</w:t>
      </w:r>
    </w:p>
    <w:p>
      <w:pPr>
        <w:numPr>
          <w:ilvl w:val="0"/>
          <w:numId w:val="1001"/>
        </w:numPr>
        <w:pStyle w:val="Compact"/>
      </w:pPr>
      <w:r>
        <w:t xml:space="preserve">Payment is due within 30 days from the date of issue. Late payments may incur a penalty of 1.5% per month.</w:t>
      </w:r>
    </w:p>
    <w:p>
      <w:pPr>
        <w:numPr>
          <w:ilvl w:val="0"/>
          <w:numId w:val="1001"/>
        </w:numPr>
        <w:pStyle w:val="Compact"/>
      </w:pPr>
      <w:r>
        <w:t xml:space="preserve">All services rendered by the Laboratory Technician are guaranteed to meet the highest standards of clinical accuracy and safety.</w:t>
      </w:r>
    </w:p>
    <w:p>
      <w:pPr>
        <w:numPr>
          <w:ilvl w:val="0"/>
          <w:numId w:val="1001"/>
        </w:numPr>
        <w:pStyle w:val="Compact"/>
      </w:pPr>
      <w:r>
        <w:t xml:space="preserve">Please reference the Invoice Number (INV-2023-0892) on all payments.</w:t>
      </w:r>
    </w:p>
    <w:p>
      <w:pPr>
        <w:numPr>
          <w:ilvl w:val="0"/>
          <w:numId w:val="1001"/>
        </w:numPr>
        <w:pStyle w:val="Compact"/>
      </w:pPr>
      <w:r>
        <w:t xml:space="preserve">This document serves as a formal request for payment for professional services provided in Lima, Peru.</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BIOLAB SOLUTIONS PERU S.A.C.</w:t>
      </w:r>
    </w:p>
    <w:p>
      <w:pPr>
        <w:pStyle w:val="BodyText"/>
      </w:pPr>
      <w:r>
        <w:rPr>
          <w:bCs/>
          <w:b/>
        </w:rPr>
        <w:t xml:space="preserve">Account Number:</w:t>
      </w:r>
      <w:r>
        <w:t xml:space="preserve"> </w:t>
      </w:r>
      <w:r>
        <w:t xml:space="preserve">194-0001234567-0-10</w:t>
      </w:r>
    </w:p>
    <w:p>
      <w:pPr>
        <w:pStyle w:val="BodyText"/>
      </w:pPr>
      <w:r>
        <w:rPr>
          <w:bCs/>
          <w:b/>
        </w:rPr>
        <w:t xml:space="preserve">SWIFT Code:</w:t>
      </w:r>
      <w:r>
        <w:t xml:space="preserve"> </w:t>
      </w:r>
      <w:r>
        <w:t xml:space="preserve">BCPPEPLP</w:t>
      </w:r>
    </w:p>
    <w:p>
      <w:pPr>
        <w:pStyle w:val="BodyText"/>
      </w:pPr>
      <w:r>
        <w:rPr>
          <w:bCs/>
          <w:b/>
        </w:rPr>
        <w:t xml:space="preserve">Currency:</w:t>
      </w:r>
      <w:r>
        <w:t xml:space="preserve"> </w:t>
      </w:r>
      <w:r>
        <w:t xml:space="preserve">Peruvian Sol (PEN)</w:t>
      </w:r>
    </w:p>
    <w:bookmarkEnd w:id="25"/>
    <w:p>
      <w:pPr>
        <w:pStyle w:val="BodyText"/>
      </w:pPr>
      <w:r>
        <w:rPr>
          <w:bCs/>
          <w:b/>
        </w:rPr>
        <w:t xml:space="preserve">Authorized by (Provider):</w:t>
      </w:r>
    </w:p>
    <w:p>
      <w:pPr>
        <w:pStyle w:val="BodyText"/>
      </w:pPr>
      <w:r>
        <w:t xml:space="preserve">Dr. Carlos Mendoza</w:t>
      </w:r>
      <w:r>
        <w:br/>
      </w:r>
      <w:r>
        <w:t xml:space="preserve">Lead Laboratory Technician</w:t>
      </w:r>
    </w:p>
    <w:p>
      <w:pPr>
        <w:pStyle w:val="BodyText"/>
      </w:pPr>
      <w:r>
        <w:rPr>
          <w:bCs/>
          <w:b/>
        </w:rPr>
        <w:t xml:space="preserve">Received by (Client):</w:t>
      </w:r>
    </w:p>
    <w:p>
      <w:pPr>
        <w:pStyle w:val="BodyText"/>
      </w:pPr>
      <w:r>
        <w:t xml:space="preserve">_________________________</w:t>
      </w:r>
      <w:r>
        <w:br/>
      </w:r>
      <w:r>
        <w:t xml:space="preserve">Procurement Manager</w:t>
      </w:r>
      <w:r>
        <w:br/>
      </w:r>
      <w:r>
        <w:t xml:space="preserve">Hospital Nacional Cayetano Heredia</w:t>
      </w:r>
    </w:p>
    <w:p>
      <w:pPr>
        <w:pStyle w:val="BodyText"/>
      </w:pPr>
      <w:r>
        <w:t xml:space="preserve">Thank you for your business. BIOLAB SOLUTIONS PERU S.A.C. is committed to excellence in laboratory services across Lima and Peru.</w:t>
      </w:r>
    </w:p>
    <w:p>
      <w:pPr>
        <w:pStyle w:val="BodyText"/>
      </w:pPr>
      <w:r>
        <w:t xml:space="preserve">This Invoice is a computer-generated document and is valid without a physical signature if received via official email channels.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Lima, Peru</dc:title>
  <dc:creator/>
  <dc:language>en</dc:language>
  <cp:keywords/>
  <dcterms:created xsi:type="dcterms:W3CDTF">2026-10-10T07:19:09Z</dcterms:created>
  <dcterms:modified xsi:type="dcterms:W3CDTF">2026-10-10T07:19:09Z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