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p>
    <w:bookmarkStart w:id="20" w:name="apex-scientific-solutions-ltd."/>
    <w:p>
      <w:pPr>
        <w:pStyle w:val="Heading1"/>
      </w:pPr>
      <w:r>
        <w:t xml:space="preserve">Apex Scientific Solutions Ltd.</w:t>
      </w:r>
    </w:p>
    <w:p>
      <w:pPr>
        <w:pStyle w:val="FirstParagraph"/>
      </w:pPr>
      <w:r>
        <w:t xml:space="preserve">Registered Office: 42 Kensington Science Park, London, W8 5SA, United Kingdom</w:t>
      </w:r>
    </w:p>
    <w:p>
      <w:pPr>
        <w:pStyle w:val="BodyText"/>
      </w:pPr>
      <w:r>
        <w:t xml:space="preserve">VAT Registration No: GB 123 4567 89</w:t>
      </w:r>
    </w:p>
    <w:p>
      <w:pPr>
        <w:pStyle w:val="BodyText"/>
      </w:pPr>
      <w:r>
        <w:t xml:space="preserve">Company No: 09876543</w:t>
      </w:r>
    </w:p>
    <w:p>
      <w:pPr>
        <w:pStyle w:val="BodyText"/>
      </w:pPr>
      <w:r>
        <w:t xml:space="preserve">Email: accounts@apexscientific.co.uk | Phone: +44 (0)20 7946 0123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23 November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Thames Valley Medical Research Centre</w:t>
      </w:r>
    </w:p>
    <w:p>
      <w:pPr>
        <w:pStyle w:val="BodyText"/>
      </w:pPr>
      <w:r>
        <w:t xml:space="preserve">Attn: Procurement Department</w:t>
      </w:r>
    </w:p>
    <w:p>
      <w:pPr>
        <w:pStyle w:val="BodyText"/>
      </w:pPr>
      <w:r>
        <w:t xml:space="preserve">15 Imperial Wharf Road</w:t>
      </w:r>
    </w:p>
    <w:p>
      <w:pPr>
        <w:pStyle w:val="BodyText"/>
      </w:pPr>
      <w:r>
        <w:t xml:space="preserve">Fulham, London, SW6 2HH</w:t>
      </w:r>
    </w:p>
    <w:p>
      <w:pPr>
        <w:pStyle w:val="BodyText"/>
      </w:pPr>
      <w:r>
        <w:t xml:space="preserve">United Kingdom</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Q4 Clinical Sample Analysis</w:t>
      </w:r>
    </w:p>
    <w:p>
      <w:pPr>
        <w:pStyle w:val="BodyText"/>
      </w:pPr>
      <w:r>
        <w:rPr>
          <w:bCs/>
          <w:b/>
        </w:rPr>
        <w:t xml:space="preserve">Contract Ref:</w:t>
      </w:r>
      <w:r>
        <w:t xml:space="preserve"> </w:t>
      </w:r>
      <w:r>
        <w:t xml:space="preserve">TVMRC-2023-LAB-09</w:t>
      </w:r>
    </w:p>
    <w:p>
      <w:pPr>
        <w:pStyle w:val="BodyText"/>
      </w:pPr>
      <w:r>
        <w:rPr>
          <w:bCs/>
          <w:b/>
        </w:rPr>
        <w:t xml:space="preserve">Service Period:</w:t>
      </w:r>
      <w:r>
        <w:t xml:space="preserve"> </w:t>
      </w:r>
      <w:r>
        <w:t xml:space="preserve">01 October 2023 – 31 October 2023</w:t>
      </w:r>
    </w:p>
    <w:p>
      <w:pPr>
        <w:pStyle w:val="BodyText"/>
      </w:pPr>
      <w:r>
        <w:rPr>
          <w:bCs/>
          <w:b/>
        </w:rPr>
        <w:t xml:space="preserve">Location:</w:t>
      </w:r>
      <w:r>
        <w:t xml:space="preserve"> </w:t>
      </w:r>
      <w:r>
        <w:t xml:space="preserve">London, United Kingdom</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Senior Laboratory Technician Services</w:t>
            </w:r>
            <w:r>
              <w:br/>
            </w:r>
            <w:r>
              <w:t xml:space="preserve">Provision of specialized technical support for clinical pathology analysis. Includes preparation of biological samples, operation of high-throughput analyzers, and maintenance of laboratory equipment in accordance with UK Health and Safety Executive (HSE) guidelines.</w:t>
            </w:r>
          </w:p>
        </w:tc>
        <w:tc>
          <w:tcPr/>
          <w:p>
            <w:pPr>
              <w:pStyle w:val="Compact"/>
              <w:jc w:val="left"/>
            </w:pPr>
            <w:r>
              <w:t xml:space="preserve">80</w:t>
            </w:r>
          </w:p>
        </w:tc>
        <w:tc>
          <w:tcPr/>
          <w:p>
            <w:pPr>
              <w:pStyle w:val="Compact"/>
              <w:jc w:val="left"/>
            </w:pPr>
            <w:r>
              <w:t xml:space="preserve">45.00</w:t>
            </w:r>
          </w:p>
        </w:tc>
        <w:tc>
          <w:tcPr/>
          <w:p>
            <w:pPr>
              <w:pStyle w:val="Compact"/>
              <w:jc w:val="left"/>
            </w:pPr>
            <w:r>
              <w:t xml:space="preserve">3,600.00</w:t>
            </w:r>
          </w:p>
        </w:tc>
      </w:tr>
      <w:tr>
        <w:tc>
          <w:tcPr/>
          <w:p>
            <w:pPr>
              <w:pStyle w:val="Compact"/>
              <w:jc w:val="left"/>
            </w:pPr>
            <w:r>
              <w:t xml:space="preserve">2</w:t>
            </w:r>
          </w:p>
        </w:tc>
        <w:tc>
          <w:tcPr/>
          <w:p>
            <w:pPr>
              <w:pStyle w:val="Compact"/>
              <w:jc w:val="left"/>
            </w:pPr>
            <w:r>
              <w:rPr>
                <w:bCs/>
                <w:b/>
              </w:rPr>
              <w:t xml:space="preserve">Quality Control &amp; Assurance Reporting</w:t>
            </w:r>
            <w:r>
              <w:br/>
            </w:r>
            <w:r>
              <w:t xml:space="preserve">Execution of daily quality control checks on laboratory instruments. Documentation of results in compliance with ISO 15189 standards. Generation of detailed technical reports for the London-based medical review board.</w:t>
            </w:r>
          </w:p>
        </w:tc>
        <w:tc>
          <w:tcPr/>
          <w:p>
            <w:pPr>
              <w:pStyle w:val="Compact"/>
              <w:jc w:val="left"/>
            </w:pPr>
            <w:r>
              <w:t xml:space="preserve">20</w:t>
            </w:r>
          </w:p>
        </w:tc>
        <w:tc>
          <w:tcPr/>
          <w:p>
            <w:pPr>
              <w:pStyle w:val="Compact"/>
              <w:jc w:val="left"/>
            </w:pPr>
            <w:r>
              <w:t xml:space="preserve">50.00</w:t>
            </w:r>
          </w:p>
        </w:tc>
        <w:tc>
          <w:tcPr/>
          <w:p>
            <w:pPr>
              <w:pStyle w:val="Compact"/>
              <w:jc w:val="left"/>
            </w:pPr>
            <w:r>
              <w:t xml:space="preserve">1,000.00</w:t>
            </w:r>
          </w:p>
        </w:tc>
      </w:tr>
      <w:tr>
        <w:tc>
          <w:tcPr/>
          <w:p>
            <w:pPr>
              <w:pStyle w:val="Compact"/>
              <w:jc w:val="left"/>
            </w:pPr>
            <w:r>
              <w:t xml:space="preserve">3</w:t>
            </w:r>
          </w:p>
        </w:tc>
        <w:tc>
          <w:tcPr/>
          <w:p>
            <w:pPr>
              <w:pStyle w:val="Compact"/>
              <w:jc w:val="left"/>
            </w:pPr>
            <w:r>
              <w:rPr>
                <w:bCs/>
                <w:b/>
              </w:rPr>
              <w:t xml:space="preserve">Hazardous Waste Management</w:t>
            </w:r>
            <w:r>
              <w:br/>
            </w:r>
            <w:r>
              <w:t xml:space="preserve">Safe disposal and documentation of biohazardous materials generated during the testing period. Adherence to strict environmental regulations specific to the Greater London area.</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4</w:t>
            </w:r>
          </w:p>
        </w:tc>
        <w:tc>
          <w:tcPr/>
          <w:p>
            <w:pPr>
              <w:pStyle w:val="Compact"/>
              <w:jc w:val="left"/>
            </w:pPr>
            <w:r>
              <w:rPr>
                <w:bCs/>
                <w:b/>
              </w:rPr>
              <w:t xml:space="preserve">Reagent Procurement &amp; Inventory</w:t>
            </w:r>
            <w:r>
              <w:br/>
            </w:r>
            <w:r>
              <w:t xml:space="preserve">Sourcing and delivery of essential chemical reagents and consumables required for the Laboratory Technician workflow. Includes VAT on goods purchased from UK suppliers.</w:t>
            </w:r>
          </w:p>
        </w:tc>
        <w:tc>
          <w:tcPr/>
          <w:p>
            <w:pPr>
              <w:pStyle w:val="Compact"/>
              <w:jc w:val="left"/>
            </w:pPr>
            <w:r>
              <w:t xml:space="preserve">1</w:t>
            </w:r>
          </w:p>
        </w:tc>
        <w:tc>
          <w:tcPr/>
          <w:p>
            <w:pPr>
              <w:pStyle w:val="Compact"/>
              <w:jc w:val="left"/>
            </w:pPr>
            <w:r>
              <w:t xml:space="preserve">720.00</w:t>
            </w:r>
          </w:p>
        </w:tc>
        <w:tc>
          <w:tcPr/>
          <w:p>
            <w:pPr>
              <w:pStyle w:val="Compact"/>
              <w:jc w:val="left"/>
            </w:pPr>
            <w:r>
              <w:t xml:space="preserve">720.00</w:t>
            </w:r>
          </w:p>
        </w:tc>
      </w:tr>
      <w:tr>
        <w:tc>
          <w:tcPr/>
          <w:p>
            <w:pPr>
              <w:pStyle w:val="Compact"/>
              <w:jc w:val="left"/>
            </w:pPr>
            <w:r>
              <w:t xml:space="preserve">5</w:t>
            </w:r>
          </w:p>
        </w:tc>
        <w:tc>
          <w:tcPr/>
          <w:p>
            <w:pPr>
              <w:pStyle w:val="Compact"/>
              <w:jc w:val="left"/>
            </w:pPr>
            <w:r>
              <w:rPr>
                <w:bCs/>
                <w:b/>
              </w:rPr>
              <w:t xml:space="preserve">Emergency On-Call Support</w:t>
            </w:r>
            <w:r>
              <w:br/>
            </w:r>
            <w:r>
              <w:t xml:space="preserve">Availability for urgent sample processing outside of standard business hours to support critical care units in London hospitals.</w:t>
            </w:r>
          </w:p>
        </w:tc>
        <w:tc>
          <w:tcPr/>
          <w:p>
            <w:pPr>
              <w:pStyle w:val="Compact"/>
              <w:jc w:val="left"/>
            </w:pPr>
            <w:r>
              <w:t xml:space="preserve">10</w:t>
            </w:r>
          </w:p>
        </w:tc>
        <w:tc>
          <w:tcPr/>
          <w:p>
            <w:pPr>
              <w:pStyle w:val="Compact"/>
              <w:jc w:val="left"/>
            </w:pPr>
            <w:r>
              <w:t xml:space="preserve">60.00</w:t>
            </w:r>
          </w:p>
        </w:tc>
        <w:tc>
          <w:tcPr/>
          <w:p>
            <w:pPr>
              <w:pStyle w:val="Compact"/>
              <w:jc w:val="left"/>
            </w:pPr>
            <w:r>
              <w:t xml:space="preserve">600.00</w:t>
            </w:r>
          </w:p>
        </w:tc>
      </w:tr>
    </w:tbl>
    <w:p>
      <w:pPr>
        <w:pStyle w:val="BodyText"/>
      </w:pPr>
      <w:r>
        <w:t xml:space="preserve">Subtotal:</w:t>
      </w:r>
      <w:r>
        <w:t xml:space="preserve"> </w:t>
      </w:r>
      <w:r>
        <w:t xml:space="preserve">£6,270.00</w:t>
      </w:r>
    </w:p>
    <w:p>
      <w:pPr>
        <w:pStyle w:val="BodyText"/>
      </w:pPr>
      <w:r>
        <w:t xml:space="preserve">VAT (20%):</w:t>
      </w:r>
      <w:r>
        <w:t xml:space="preserve"> </w:t>
      </w:r>
      <w:r>
        <w:t xml:space="preserve">£1,254.00</w:t>
      </w:r>
    </w:p>
    <w:p>
      <w:pPr>
        <w:pStyle w:val="BodyText"/>
      </w:pPr>
      <w:r>
        <w:t xml:space="preserve">Total Due:</w:t>
      </w:r>
      <w:r>
        <w:t xml:space="preserve"> </w:t>
      </w:r>
      <w:r>
        <w:t xml:space="preserve">£7,524.00</w:t>
      </w:r>
    </w:p>
    <w:bookmarkStart w:id="24" w:name="payment-instructions-notes"/>
    <w:p>
      <w:pPr>
        <w:pStyle w:val="Heading3"/>
      </w:pPr>
      <w:r>
        <w:t xml:space="preserve">Payment Instructions &amp; Notes</w:t>
      </w:r>
    </w:p>
    <w:p>
      <w:pPr>
        <w:pStyle w:val="FirstParagraph"/>
      </w:pPr>
      <w:r>
        <w:t xml:space="preserve">Please ensure payment is made within 30 days of the invoice date to avoid late payment fees as per the Late Payment of Commercial Debts (Interest) Act 1998.</w:t>
      </w:r>
    </w:p>
    <w:p>
      <w:pPr>
        <w:pStyle w:val="BodyText"/>
      </w:pPr>
      <w:r>
        <w:rPr>
          <w:bCs/>
          <w:b/>
        </w:rPr>
        <w:t xml:space="preserve">Bank Transfer Details:</w:t>
      </w:r>
    </w:p>
    <w:p>
      <w:pPr>
        <w:pStyle w:val="BodyText"/>
      </w:pPr>
      <w:r>
        <w:rPr>
          <w:bCs/>
          <w:b/>
        </w:rPr>
        <w:t xml:space="preserve">Bank Name:</w:t>
      </w:r>
      <w:r>
        <w:t xml:space="preserve"> </w:t>
      </w:r>
      <w:r>
        <w:t xml:space="preserve">Barclays Bank PLC</w:t>
      </w:r>
    </w:p>
    <w:p>
      <w:pPr>
        <w:pStyle w:val="BodyText"/>
      </w:pPr>
      <w:r>
        <w:rPr>
          <w:bCs/>
          <w:b/>
        </w:rPr>
        <w:t xml:space="preserve">Account Name:</w:t>
      </w:r>
      <w:r>
        <w:t xml:space="preserve"> </w:t>
      </w:r>
      <w:r>
        <w:t xml:space="preserve">Apex Scientific Solutions Ltd.</w:t>
      </w:r>
    </w:p>
    <w:p>
      <w:pPr>
        <w:pStyle w:val="BodyText"/>
      </w:pPr>
      <w:r>
        <w:rPr>
          <w:bCs/>
          <w:b/>
        </w:rPr>
        <w:t xml:space="preserve">Sort Code:</w:t>
      </w:r>
      <w:r>
        <w:t xml:space="preserve"> </w:t>
      </w:r>
      <w:r>
        <w:t xml:space="preserve">20-00-00</w:t>
      </w:r>
    </w:p>
    <w:p>
      <w:pPr>
        <w:pStyle w:val="BodyText"/>
      </w:pPr>
      <w:r>
        <w:rPr>
          <w:bCs/>
          <w:b/>
        </w:rPr>
        <w:t xml:space="preserve">Account Number:</w:t>
      </w:r>
      <w:r>
        <w:t xml:space="preserve"> </w:t>
      </w:r>
      <w:r>
        <w:t xml:space="preserve">12345678</w:t>
      </w:r>
    </w:p>
    <w:p>
      <w:pPr>
        <w:pStyle w:val="BodyText"/>
      </w:pPr>
      <w:r>
        <w:rPr>
          <w:bCs/>
          <w:b/>
        </w:rPr>
        <w:t xml:space="preserve">IBAN:</w:t>
      </w:r>
      <w:r>
        <w:t xml:space="preserve"> </w:t>
      </w:r>
      <w:r>
        <w:t xml:space="preserve">GB29 BARC 2000 0012 3456 78</w:t>
      </w:r>
    </w:p>
    <w:p>
      <w:pPr>
        <w:pStyle w:val="BodyText"/>
      </w:pPr>
      <w:r>
        <w:rPr>
          <w:bCs/>
          <w:b/>
        </w:rPr>
        <w:t xml:space="preserve">BIC/SWIFT:</w:t>
      </w:r>
      <w:r>
        <w:t xml:space="preserve"> </w:t>
      </w:r>
      <w:r>
        <w:t xml:space="preserve">BARCGB22</w:t>
      </w:r>
    </w:p>
    <w:p>
      <w:pPr>
        <w:pStyle w:val="BodyText"/>
      </w:pPr>
      <w:r>
        <w:rPr>
          <w:bCs/>
          <w:b/>
        </w:rPr>
        <w:t xml:space="preserve">Reference:</w:t>
      </w:r>
      <w:r>
        <w:t xml:space="preserve"> </w:t>
      </w:r>
      <w:r>
        <w:t xml:space="preserve">INV-2023-10-045</w:t>
      </w:r>
    </w:p>
    <w:p>
      <w:pPr>
        <w:pStyle w:val="BodyText"/>
      </w:pPr>
      <w:r>
        <w:rPr>
          <w:bCs/>
          <w:b/>
        </w:rPr>
        <w:t xml:space="preserve">Service Compliance Statement:</w:t>
      </w:r>
    </w:p>
    <w:p>
      <w:pPr>
        <w:pStyle w:val="BodyText"/>
      </w:pPr>
      <w:r>
        <w:t xml:space="preserve">All services rendered by our Laboratory Technician staff have been conducted in full compliance with the UK Clinical Laboratory Standards and the Data Protection Act 2018 (GDPR). All patient data and sample information have been handled with the utmost confidentiality and security protocols required for medical facilities in London, United Kingdom.</w:t>
      </w:r>
    </w:p>
    <w:p>
      <w:pPr>
        <w:pStyle w:val="BodyText"/>
      </w:pPr>
      <w:r>
        <w:rPr>
          <w:bCs/>
          <w:b/>
        </w:rPr>
        <w:t xml:space="preserve">Queries:</w:t>
      </w:r>
    </w:p>
    <w:p>
      <w:pPr>
        <w:pStyle w:val="BodyText"/>
      </w:pPr>
      <w:r>
        <w:t xml:space="preserve">If you have any questions regarding this invoice or the services provided, please contact our accounts department at accounts@apexscientific.co.uk or call +44 (0)20 7946 0123. We appreciate your business and look forward to continuing our partnership in advancing medical research in the United Kingdom.</w:t>
      </w:r>
    </w:p>
    <w:bookmarkEnd w:id="24"/>
    <w:p>
      <w:pPr>
        <w:pStyle w:val="BodyText"/>
      </w:pPr>
      <w:r>
        <w:t xml:space="preserve">Apex Scientific Solutions Ltd. | Registered in England &amp; Wales No. 09876543</w:t>
      </w:r>
    </w:p>
    <w:p>
      <w:pPr>
        <w:pStyle w:val="BodyText"/>
      </w:pPr>
      <w:r>
        <w:t xml:space="preserve">42 Kensington Science Park, London, W8 5SA, United Kingdom</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dc:title>
  <dc:creator/>
  <dc:language>en</dc:language>
  <cp:keywords/>
  <dcterms:created xsi:type="dcterms:W3CDTF">2026-10-10T12:43:34Z</dcterms:created>
  <dcterms:modified xsi:type="dcterms:W3CDTF">2026-10-10T12:43:34Z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