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Laboratory</w:t>
      </w:r>
      <w:r>
        <w:t xml:space="preserve"> </w:t>
      </w:r>
      <w:r>
        <w:t xml:space="preserve">Technician</w:t>
      </w:r>
      <w:r>
        <w:t xml:space="preserve"> </w:t>
      </w:r>
      <w:r>
        <w:t xml:space="preserve">Services</w:t>
      </w:r>
    </w:p>
    <w:bookmarkStart w:id="20" w:name="biotech-solutions-miami"/>
    <w:p>
      <w:pPr>
        <w:pStyle w:val="Heading1"/>
      </w:pPr>
      <w:r>
        <w:t xml:space="preserve">BioTech Solutions Miami</w:t>
      </w:r>
    </w:p>
    <w:p>
      <w:pPr>
        <w:pStyle w:val="FirstParagraph"/>
      </w:pPr>
      <w:r>
        <w:t xml:space="preserve">1200 Brickell Avenue, Suite 400</w:t>
      </w:r>
    </w:p>
    <w:p>
      <w:pPr>
        <w:pStyle w:val="BodyText"/>
      </w:pPr>
      <w:r>
        <w:t xml:space="preserve">Miami, FL 33131, United States</w:t>
      </w:r>
    </w:p>
    <w:p>
      <w:pPr>
        <w:pStyle w:val="BodyText"/>
      </w:pPr>
      <w:r>
        <w:t xml:space="preserve">Phone: (305) 555-0199</w:t>
      </w:r>
    </w:p>
    <w:p>
      <w:pPr>
        <w:pStyle w:val="BodyText"/>
      </w:pPr>
      <w:r>
        <w:t xml:space="preserve">Email: billing@biotechmiami.com</w:t>
      </w:r>
    </w:p>
    <w:p>
      <w:pPr>
        <w:pStyle w:val="BodyText"/>
      </w:pPr>
      <w:r>
        <w:t xml:space="preserve">FL Tax ID: 20-1234567</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INV-2023-10-045</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w:t>
      </w:r>
    </w:p>
    <w:bookmarkEnd w:id="21"/>
    <w:bookmarkStart w:id="22" w:name="bill-to"/>
    <w:p>
      <w:pPr>
        <w:pStyle w:val="Heading3"/>
      </w:pPr>
      <w:r>
        <w:t xml:space="preserve">Bill To:</w:t>
      </w:r>
    </w:p>
    <w:p>
      <w:pPr>
        <w:pStyle w:val="FirstParagraph"/>
      </w:pPr>
      <w:r>
        <w:rPr>
          <w:bCs/>
          <w:b/>
        </w:rPr>
        <w:t xml:space="preserve">Dr. Elena Rodriguez, Director of Operations</w:t>
      </w:r>
    </w:p>
    <w:p>
      <w:pPr>
        <w:pStyle w:val="BodyText"/>
      </w:pPr>
      <w:r>
        <w:t xml:space="preserve">Miami-Dade County Health Department</w:t>
      </w:r>
    </w:p>
    <w:p>
      <w:pPr>
        <w:pStyle w:val="BodyText"/>
      </w:pPr>
      <w:r>
        <w:t xml:space="preserve">1401 NW 12th Avenue</w:t>
      </w:r>
    </w:p>
    <w:p>
      <w:pPr>
        <w:pStyle w:val="BodyText"/>
      </w:pPr>
      <w:r>
        <w:t xml:space="preserve">Miami, FL 33136, United States</w:t>
      </w:r>
    </w:p>
    <w:p>
      <w:pPr>
        <w:pStyle w:val="BodyText"/>
      </w:pPr>
      <w:r>
        <w:t xml:space="preserve">Attn: Accounts Payable Department</w:t>
      </w:r>
    </w:p>
    <w:bookmarkEnd w:id="22"/>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 Price</w:t>
            </w:r>
          </w:p>
        </w:tc>
        <w:tc>
          <w:tcPr/>
          <w:p>
            <w:pPr>
              <w:pStyle w:val="Compact"/>
              <w:jc w:val="left"/>
            </w:pPr>
            <w:r>
              <w:t xml:space="preserve">Amount</w:t>
            </w:r>
          </w:p>
        </w:tc>
      </w:tr>
      <w:tr>
        <w:tc>
          <w:tcPr/>
          <w:p>
            <w:pPr>
              <w:pStyle w:val="Compact"/>
              <w:jc w:val="left"/>
            </w:pPr>
            <w:r>
              <w:rPr>
                <w:bCs/>
                <w:b/>
              </w:rPr>
              <w:t xml:space="preserve">Senior Laboratory Technician Services - Clinical Diagnostics</w:t>
            </w:r>
            <w:r>
              <w:br/>
            </w:r>
            <w:r>
              <w:t xml:space="preserve">Provision of specialized technical support for the analysis of biological samples in accordance with CLIA regulations. This includes the operation of automated hematology analyzers, preparation of slides for microscopic examination, and quality control checks to ensure data integrity for patient care in the Miami metropolitan area.</w:t>
            </w:r>
          </w:p>
        </w:tc>
        <w:tc>
          <w:tcPr/>
          <w:p>
            <w:pPr>
              <w:pStyle w:val="Compact"/>
              <w:jc w:val="left"/>
            </w:pPr>
            <w:r>
              <w:t xml:space="preserve">40.0</w:t>
            </w:r>
          </w:p>
        </w:tc>
        <w:tc>
          <w:tcPr/>
          <w:p>
            <w:pPr>
              <w:pStyle w:val="Compact"/>
              <w:jc w:val="left"/>
            </w:pPr>
            <w:r>
              <w:t xml:space="preserve">$65.00</w:t>
            </w:r>
          </w:p>
        </w:tc>
        <w:tc>
          <w:tcPr/>
          <w:p>
            <w:pPr>
              <w:pStyle w:val="Compact"/>
              <w:jc w:val="left"/>
            </w:pPr>
            <w:r>
              <w:t xml:space="preserve">$2,600.00</w:t>
            </w:r>
          </w:p>
        </w:tc>
      </w:tr>
      <w:tr>
        <w:tc>
          <w:tcPr/>
          <w:p>
            <w:pPr>
              <w:pStyle w:val="Compact"/>
              <w:jc w:val="left"/>
            </w:pPr>
            <w:r>
              <w:rPr>
                <w:bCs/>
                <w:b/>
              </w:rPr>
              <w:t xml:space="preserve">Environmental Microbiology Testing</w:t>
            </w:r>
            <w:r>
              <w:br/>
            </w:r>
            <w:r>
              <w:t xml:space="preserve">Conducting water quality analysis and air sampling for the client's facility in Miami, FL. Services included culturing, identification of microbial pathogens, and reporting results compliant with Florida Department of Health standards.</w:t>
            </w:r>
          </w:p>
        </w:tc>
        <w:tc>
          <w:tcPr/>
          <w:p>
            <w:pPr>
              <w:pStyle w:val="Compact"/>
              <w:jc w:val="left"/>
            </w:pPr>
            <w:r>
              <w:t xml:space="preserve">15.0</w:t>
            </w:r>
          </w:p>
        </w:tc>
        <w:tc>
          <w:tcPr/>
          <w:p>
            <w:pPr>
              <w:pStyle w:val="Compact"/>
              <w:jc w:val="left"/>
            </w:pPr>
            <w:r>
              <w:t xml:space="preserve">$70.00</w:t>
            </w:r>
          </w:p>
        </w:tc>
        <w:tc>
          <w:tcPr/>
          <w:p>
            <w:pPr>
              <w:pStyle w:val="Compact"/>
              <w:jc w:val="left"/>
            </w:pPr>
            <w:r>
              <w:t xml:space="preserve">$1,050.00</w:t>
            </w:r>
          </w:p>
        </w:tc>
      </w:tr>
      <w:tr>
        <w:tc>
          <w:tcPr/>
          <w:p>
            <w:pPr>
              <w:pStyle w:val="Compact"/>
              <w:jc w:val="left"/>
            </w:pPr>
            <w:r>
              <w:rPr>
                <w:bCs/>
                <w:b/>
              </w:rPr>
              <w:t xml:space="preserve">Equipment Calibration and Maintenance</w:t>
            </w:r>
            <w:r>
              <w:br/>
            </w:r>
            <w:r>
              <w:t xml:space="preserve">Scheduled maintenance and calibration of centrifuges, spectrophotometers, and PCR thermal cyclers. Ensuring all laboratory equipment meets ISO 15189 standards for medical laboratories.</w:t>
            </w:r>
          </w:p>
        </w:tc>
        <w:tc>
          <w:tcPr/>
          <w:p>
            <w:pPr>
              <w:pStyle w:val="Compact"/>
              <w:jc w:val="left"/>
            </w:pPr>
            <w:r>
              <w:t xml:space="preserve">8.0</w:t>
            </w:r>
          </w:p>
        </w:tc>
        <w:tc>
          <w:tcPr/>
          <w:p>
            <w:pPr>
              <w:pStyle w:val="Compact"/>
              <w:jc w:val="left"/>
            </w:pPr>
            <w:r>
              <w:t xml:space="preserve">$80.00</w:t>
            </w:r>
          </w:p>
        </w:tc>
        <w:tc>
          <w:tcPr/>
          <w:p>
            <w:pPr>
              <w:pStyle w:val="Compact"/>
              <w:jc w:val="left"/>
            </w:pPr>
            <w:r>
              <w:t xml:space="preserve">$640.00</w:t>
            </w:r>
          </w:p>
        </w:tc>
      </w:tr>
      <w:tr>
        <w:tc>
          <w:tcPr/>
          <w:p>
            <w:pPr>
              <w:pStyle w:val="Compact"/>
              <w:jc w:val="left"/>
            </w:pPr>
            <w:r>
              <w:rPr>
                <w:bCs/>
                <w:b/>
              </w:rPr>
              <w:t xml:space="preserve">Reagent Procurement and Inventory Management</w:t>
            </w:r>
            <w:r>
              <w:br/>
            </w:r>
            <w:r>
              <w:t xml:space="preserve">Sourcing and purchasing specialized chemical reagents and consumables required for ongoing testing protocols. Includes verification of expiration dates and proper cold-chain storage management within the Miami facility.</w:t>
            </w:r>
          </w:p>
        </w:tc>
        <w:tc>
          <w:tcPr/>
          <w:p>
            <w:pPr>
              <w:pStyle w:val="Compact"/>
              <w:jc w:val="left"/>
            </w:pPr>
            <w:r>
              <w:t xml:space="preserve">1.0</w:t>
            </w:r>
          </w:p>
        </w:tc>
        <w:tc>
          <w:tcPr/>
          <w:p>
            <w:pPr>
              <w:pStyle w:val="Compact"/>
              <w:jc w:val="left"/>
            </w:pPr>
            <w:r>
              <w:t xml:space="preserve">$450.00</w:t>
            </w:r>
          </w:p>
        </w:tc>
        <w:tc>
          <w:tcPr/>
          <w:p>
            <w:pPr>
              <w:pStyle w:val="Compact"/>
              <w:jc w:val="left"/>
            </w:pPr>
            <w:r>
              <w:t xml:space="preserve">$450.00</w:t>
            </w:r>
          </w:p>
        </w:tc>
      </w:tr>
      <w:tr>
        <w:tc>
          <w:tcPr/>
          <w:p>
            <w:pPr>
              <w:pStyle w:val="Compact"/>
              <w:jc w:val="left"/>
            </w:pPr>
            <w:r>
              <w:rPr>
                <w:bCs/>
                <w:b/>
              </w:rPr>
              <w:t xml:space="preserve">Regulatory Compliance Documentation</w:t>
            </w:r>
            <w:r>
              <w:br/>
            </w:r>
            <w:r>
              <w:t xml:space="preserve">Preparation of detailed logs and safety reports required for state and federal inspections. Documentation of Standard Operating Procedures (SOPs) updates specific to the Laboratory Technician role.</w:t>
            </w:r>
          </w:p>
        </w:tc>
        <w:tc>
          <w:tcPr/>
          <w:p>
            <w:pPr>
              <w:pStyle w:val="Compact"/>
              <w:jc w:val="left"/>
            </w:pPr>
            <w:r>
              <w:t xml:space="preserve">5.0</w:t>
            </w:r>
          </w:p>
        </w:tc>
        <w:tc>
          <w:tcPr/>
          <w:p>
            <w:pPr>
              <w:pStyle w:val="Compact"/>
              <w:jc w:val="left"/>
            </w:pPr>
            <w:r>
              <w:t xml:space="preserve">$60.00</w:t>
            </w:r>
          </w:p>
        </w:tc>
        <w:tc>
          <w:tcPr/>
          <w:p>
            <w:pPr>
              <w:pStyle w:val="Compact"/>
              <w:jc w:val="left"/>
            </w:pPr>
            <w:r>
              <w:t xml:space="preserve">$300.00</w:t>
            </w:r>
          </w:p>
        </w:tc>
      </w:tr>
    </w:tbl>
    <w:p>
      <w:pPr>
        <w:pStyle w:val="BodyText"/>
      </w:pPr>
      <w:r>
        <w:t xml:space="preserve">Subtotal:</w:t>
      </w:r>
      <w:r>
        <w:t xml:space="preserve"> </w:t>
      </w:r>
      <w:r>
        <w:t xml:space="preserve">$5,040.00</w:t>
      </w:r>
    </w:p>
    <w:p>
      <w:pPr>
        <w:pStyle w:val="BodyText"/>
      </w:pPr>
      <w:r>
        <w:t xml:space="preserve">Florida State Sales Tax (6%):</w:t>
      </w:r>
      <w:r>
        <w:t xml:space="preserve"> </w:t>
      </w:r>
      <w:r>
        <w:t xml:space="preserve">$302.40</w:t>
      </w:r>
    </w:p>
    <w:p>
      <w:pPr>
        <w:pStyle w:val="BodyText"/>
      </w:pPr>
      <w:r>
        <w:t xml:space="preserve">Miami-Dade County Surtax (1%):</w:t>
      </w:r>
      <w:r>
        <w:t xml:space="preserve"> </w:t>
      </w:r>
      <w:r>
        <w:t xml:space="preserve">$50.40</w:t>
      </w:r>
    </w:p>
    <w:p>
      <w:pPr>
        <w:pStyle w:val="BodyText"/>
      </w:pPr>
      <w:r>
        <w:t xml:space="preserve">TOTAL DUE (USD):</w:t>
      </w:r>
      <w:r>
        <w:t xml:space="preserve"> </w:t>
      </w:r>
      <w:r>
        <w:t xml:space="preserve">$5,392.80</w:t>
      </w:r>
    </w:p>
    <w:bookmarkStart w:id="23" w:name="payment-instructions"/>
    <w:p>
      <w:pPr>
        <w:pStyle w:val="Heading4"/>
      </w:pPr>
      <w:r>
        <w:t xml:space="preserve">Payment Instructions:</w:t>
      </w:r>
    </w:p>
    <w:p>
      <w:pPr>
        <w:pStyle w:val="FirstParagraph"/>
      </w:pPr>
      <w:r>
        <w:t xml:space="preserve">Please make checks payable to</w:t>
      </w:r>
      <w:r>
        <w:t xml:space="preserve"> </w:t>
      </w:r>
      <w:r>
        <w:rPr>
          <w:bCs/>
          <w:b/>
        </w:rPr>
        <w:t xml:space="preserve">BioTech Solutions Miami</w:t>
      </w:r>
      <w:r>
        <w:t xml:space="preserve">. For electronic transfers, please use the following details:</w:t>
      </w:r>
    </w:p>
    <w:p>
      <w:pPr>
        <w:pStyle w:val="BodyText"/>
      </w:pPr>
      <w:r>
        <w:rPr>
          <w:bCs/>
          <w:b/>
        </w:rPr>
        <w:t xml:space="preserve">Bank Name:</w:t>
      </w:r>
      <w:r>
        <w:t xml:space="preserve"> </w:t>
      </w:r>
      <w:r>
        <w:t xml:space="preserve">Bank of America, Miami Branch</w:t>
      </w:r>
      <w:r>
        <w:br/>
      </w:r>
      <w:r>
        <w:rPr>
          <w:bCs/>
          <w:b/>
        </w:rPr>
        <w:t xml:space="preserve">Account Name:</w:t>
      </w:r>
      <w:r>
        <w:t xml:space="preserve"> </w:t>
      </w:r>
      <w:r>
        <w:t xml:space="preserve">BioTech Solutions Miami LLC</w:t>
      </w:r>
      <w:r>
        <w:br/>
      </w:r>
      <w:r>
        <w:rPr>
          <w:bCs/>
          <w:b/>
        </w:rPr>
        <w:t xml:space="preserve">Routing Number:</w:t>
      </w:r>
      <w:r>
        <w:t xml:space="preserve"> </w:t>
      </w:r>
      <w:r>
        <w:t xml:space="preserve">026009593</w:t>
      </w:r>
      <w:r>
        <w:br/>
      </w:r>
      <w:r>
        <w:rPr>
          <w:bCs/>
          <w:b/>
        </w:rPr>
        <w:t xml:space="preserve">Account Number:</w:t>
      </w:r>
      <w:r>
        <w:t xml:space="preserve"> </w:t>
      </w:r>
      <w:r>
        <w:t xml:space="preserve">123456789012</w:t>
      </w:r>
    </w:p>
    <w:p>
      <w:pPr>
        <w:pStyle w:val="BodyText"/>
      </w:pPr>
      <w:r>
        <w:t xml:space="preserve">Payments received after the due date of November 24, 2023, will be subject to a late fee of 1.5% per month on the outstanding balance.</w:t>
      </w:r>
    </w:p>
    <w:bookmarkEnd w:id="23"/>
    <w:bookmarkStart w:id="24" w:name="terms-and-conditions"/>
    <w:p>
      <w:pPr>
        <w:pStyle w:val="Heading4"/>
      </w:pPr>
      <w:r>
        <w:t xml:space="preserve">Terms and Conditions:</w:t>
      </w:r>
    </w:p>
    <w:p>
      <w:pPr>
        <w:pStyle w:val="FirstParagraph"/>
      </w:pPr>
      <w:r>
        <w:t xml:space="preserve">1.</w:t>
      </w:r>
      <w:r>
        <w:t xml:space="preserve"> </w:t>
      </w:r>
      <w:r>
        <w:rPr>
          <w:bCs/>
          <w:b/>
        </w:rPr>
        <w:t xml:space="preserve">Scope of Work:</w:t>
      </w:r>
      <w:r>
        <w:t xml:space="preserve"> </w:t>
      </w:r>
      <w:r>
        <w:t xml:space="preserve">All services rendered by the Laboratory Technician are performed in accordance with the agreed-upon Statement of Work (SOW) and applicable laws in the State of Florida.</w:t>
      </w:r>
    </w:p>
    <w:p>
      <w:pPr>
        <w:pStyle w:val="BodyText"/>
      </w:pPr>
      <w:r>
        <w:t xml:space="preserve">2.</w:t>
      </w:r>
      <w:r>
        <w:t xml:space="preserve"> </w:t>
      </w:r>
      <w:r>
        <w:rPr>
          <w:bCs/>
          <w:b/>
        </w:rPr>
        <w:t xml:space="preserve">Accuracy:</w:t>
      </w:r>
      <w:r>
        <w:t xml:space="preserve"> </w:t>
      </w:r>
      <w:r>
        <w:t xml:space="preserve">The client agrees to review this Invoice within 10 business days. Any discrepancies must be reported in writing to billing@biotechmiami.com within this period.</w:t>
      </w:r>
    </w:p>
    <w:p>
      <w:pPr>
        <w:pStyle w:val="BodyText"/>
      </w:pPr>
      <w:r>
        <w:t xml:space="preserve">3.</w:t>
      </w:r>
      <w:r>
        <w:t xml:space="preserve"> </w:t>
      </w:r>
      <w:r>
        <w:rPr>
          <w:bCs/>
          <w:b/>
        </w:rPr>
        <w:t xml:space="preserve">Confidentiality:</w:t>
      </w:r>
      <w:r>
        <w:t xml:space="preserve"> </w:t>
      </w:r>
      <w:r>
        <w:t xml:space="preserve">All patient data and proprietary information handled by our Laboratory Technician are subject to strict confidentiality agreements under HIPAA regulations.</w:t>
      </w:r>
    </w:p>
    <w:p>
      <w:pPr>
        <w:pStyle w:val="BodyText"/>
      </w:pPr>
      <w:r>
        <w:t xml:space="preserve">4.</w:t>
      </w:r>
      <w:r>
        <w:t xml:space="preserve"> </w:t>
      </w:r>
      <w:r>
        <w:rPr>
          <w:bCs/>
          <w:b/>
        </w:rPr>
        <w:t xml:space="preserve">Governing Law:</w:t>
      </w:r>
      <w:r>
        <w:t xml:space="preserve"> </w:t>
      </w:r>
      <w:r>
        <w:t xml:space="preserve">This Invoice and the services described herein are governed by the laws of the State of Florida, United States.</w:t>
      </w:r>
    </w:p>
    <w:bookmarkEnd w:id="24"/>
    <w:p>
      <w:pPr>
        <w:pStyle w:val="BodyText"/>
      </w:pPr>
      <w:r>
        <w:t xml:space="preserve">Thank you for your business. We appreciate your trust in our Laboratory Technician services.</w:t>
      </w:r>
    </w:p>
    <w:p>
      <w:pPr>
        <w:pStyle w:val="BodyText"/>
      </w:pPr>
      <w:r>
        <w:t xml:space="preserve">BioTech Solutions Miami | 1200 Brickell Avenue, Suite 400, Miami, FL 33131 | (305) 555-0199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Laboratory Technician Services</dc:title>
  <dc:creator/>
  <dc:language>en</dc:language>
  <cp:keywords/>
  <dcterms:created xsi:type="dcterms:W3CDTF">2026-10-10T09:53:14Z</dcterms:created>
  <dcterms:modified xsi:type="dcterms:W3CDTF">2026-10-10T09:53:14Z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