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Legal</w:t>
      </w:r>
      <w:r>
        <w:t xml:space="preserve"> </w:t>
      </w:r>
      <w:r>
        <w:t xml:space="preserve">Invoice</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garcía-mendoza-asociados"/>
    <w:p>
      <w:pPr>
        <w:pStyle w:val="Heading1"/>
      </w:pPr>
      <w:r>
        <w:t xml:space="preserve">García, Mendoza &amp; Asociados</w:t>
      </w:r>
    </w:p>
    <w:p>
      <w:pPr>
        <w:pStyle w:val="FirstParagraph"/>
      </w:pPr>
      <w:r>
        <w:t xml:space="preserve">Abogados y Consultores Legales</w:t>
      </w:r>
    </w:p>
    <w:p>
      <w:pPr>
        <w:pStyle w:val="BodyText"/>
      </w:pPr>
      <w:r>
        <w:t xml:space="preserve">Av. Corrientes 1250, Piso 14, Oficina 1402</w:t>
      </w:r>
    </w:p>
    <w:p>
      <w:pPr>
        <w:pStyle w:val="BodyText"/>
      </w:pPr>
      <w:r>
        <w:t xml:space="preserve">Ciudad Autónoma de Buenos Aires, Argentina</w:t>
      </w:r>
    </w:p>
    <w:p>
      <w:pPr>
        <w:pStyle w:val="BodyText"/>
      </w:pPr>
      <w:r>
        <w:t xml:space="preserve">C.P. 1043 | Tel: +54 11 4321-5678</w:t>
      </w:r>
    </w:p>
    <w:p>
      <w:pPr>
        <w:pStyle w:val="BodyText"/>
      </w:pPr>
      <w:r>
        <w:t xml:space="preserve">Email: contacto@garciamendoza.com.ar</w:t>
      </w:r>
    </w:p>
    <w:p>
      <w:pPr>
        <w:pStyle w:val="BodyText"/>
      </w:pPr>
      <w:r>
        <w:t xml:space="preserve">CUIT: 30-54871236-9 | Mat. Col. Abog. CABA N° 48.291</w:t>
      </w:r>
    </w:p>
    <w:bookmarkEnd w:id="20"/>
    <w:bookmarkStart w:id="21" w:name="invoice"/>
    <w:p>
      <w:pPr>
        <w:pStyle w:val="Heading2"/>
      </w:pPr>
      <w:r>
        <w:t xml:space="preserve">INVOICE</w:t>
      </w:r>
    </w:p>
    <w:p>
      <w:pPr>
        <w:pStyle w:val="FirstParagraph"/>
      </w:pPr>
      <w:r>
        <w:t xml:space="preserve">Factura de Servicios Legales</w:t>
      </w:r>
    </w:p>
    <w:p>
      <w:pPr>
        <w:pStyle w:val="BodyText"/>
      </w:pPr>
      <w:r>
        <w:t xml:space="preserve">Invoice No. GA-2025-00487</w:t>
      </w:r>
    </w:p>
    <w:bookmarkEnd w:id="21"/>
    <w:bookmarkStart w:id="22" w:name="invoice-details"/>
    <w:p>
      <w:pPr>
        <w:pStyle w:val="Heading3"/>
      </w:pPr>
      <w:r>
        <w:t xml:space="preserve">Invoice Details</w:t>
      </w:r>
    </w:p>
    <w:p>
      <w:pPr>
        <w:pStyle w:val="FirstParagraph"/>
      </w:pPr>
      <w:r>
        <w:rPr>
          <w:bCs/>
          <w:b/>
        </w:rPr>
        <w:t xml:space="preserve">Invoice Number:</w:t>
      </w:r>
      <w:r>
        <w:t xml:space="preserve"> </w:t>
      </w:r>
      <w:r>
        <w:t xml:space="preserve">GA-2025-00487</w:t>
      </w:r>
    </w:p>
    <w:p>
      <w:pPr>
        <w:pStyle w:val="BodyText"/>
      </w:pPr>
      <w:r>
        <w:rPr>
          <w:bCs/>
          <w:b/>
        </w:rPr>
        <w:t xml:space="preserve">Date of Issue: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Currency:</w:t>
      </w:r>
      <w:r>
        <w:t xml:space="preserve"> </w:t>
      </w:r>
      <w:r>
        <w:t xml:space="preserve">Argentine Peso (ARS)</w:t>
      </w:r>
    </w:p>
    <w:p>
      <w:pPr>
        <w:pStyle w:val="BodyText"/>
      </w:pPr>
      <w:r>
        <w:rPr>
          <w:bCs/>
          <w:b/>
        </w:rPr>
        <w:t xml:space="preserve">Payment Method:</w:t>
      </w:r>
      <w:r>
        <w:t xml:space="preserve"> </w:t>
      </w:r>
      <w:r>
        <w:t xml:space="preserve">Bank Transfer / Cheque</w:t>
      </w:r>
    </w:p>
    <w:bookmarkEnd w:id="22"/>
    <w:bookmarkStart w:id="23" w:name="lawyer-firm-information"/>
    <w:p>
      <w:pPr>
        <w:pStyle w:val="Heading3"/>
      </w:pPr>
      <w:r>
        <w:t xml:space="preserve">Lawyer / Firm Information</w:t>
      </w:r>
    </w:p>
    <w:p>
      <w:pPr>
        <w:pStyle w:val="FirstParagraph"/>
      </w:pPr>
      <w:r>
        <w:rPr>
          <w:bCs/>
          <w:b/>
        </w:rPr>
        <w:t xml:space="preserve">Lead Attorney:</w:t>
      </w:r>
      <w:r>
        <w:t xml:space="preserve"> </w:t>
      </w:r>
      <w:r>
        <w:t xml:space="preserve">Dr. Ricardo A. García</w:t>
      </w:r>
    </w:p>
    <w:p>
      <w:pPr>
        <w:pStyle w:val="BodyText"/>
      </w:pPr>
      <w:r>
        <w:rPr>
          <w:bCs/>
          <w:b/>
        </w:rPr>
        <w:t xml:space="preserve">Associate:</w:t>
      </w:r>
      <w:r>
        <w:t xml:space="preserve"> </w:t>
      </w:r>
      <w:r>
        <w:t xml:space="preserve">Lic. Valentina Mendoza</w:t>
      </w:r>
    </w:p>
    <w:p>
      <w:pPr>
        <w:pStyle w:val="BodyText"/>
      </w:pPr>
      <w:r>
        <w:rPr>
          <w:bCs/>
          <w:b/>
        </w:rPr>
        <w:t xml:space="preserve">Bar Registration:</w:t>
      </w:r>
      <w:r>
        <w:t xml:space="preserve"> </w:t>
      </w:r>
      <w:r>
        <w:t xml:space="preserve">Colegio de Abogados de la Ciudad de Buenos Aires</w:t>
      </w:r>
    </w:p>
    <w:bookmarkEnd w:id="23"/>
    <w:bookmarkStart w:id="24" w:name="billed-to-client"/>
    <w:p>
      <w:pPr>
        <w:pStyle w:val="Heading3"/>
      </w:pPr>
      <w:r>
        <w:t xml:space="preserve">Billed To (Client)</w:t>
      </w:r>
    </w:p>
    <w:p>
      <w:pPr>
        <w:pStyle w:val="FirstParagraph"/>
      </w:pPr>
      <w:r>
        <w:rPr>
          <w:bCs/>
          <w:b/>
        </w:rPr>
        <w:t xml:space="preserve">Company:</w:t>
      </w:r>
      <w:r>
        <w:t xml:space="preserve"> </w:t>
      </w:r>
      <w:r>
        <w:t xml:space="preserve">TechNova Solutions S.A.</w:t>
      </w:r>
    </w:p>
    <w:p>
      <w:pPr>
        <w:pStyle w:val="BodyText"/>
      </w:pPr>
      <w:r>
        <w:rPr>
          <w:bCs/>
          <w:b/>
        </w:rPr>
        <w:t xml:space="preserve">Attn:</w:t>
      </w:r>
      <w:r>
        <w:t xml:space="preserve"> </w:t>
      </w:r>
      <w:r>
        <w:t xml:space="preserve">Ing. Martín López, Director Legal</w:t>
      </w:r>
    </w:p>
    <w:p>
      <w:pPr>
        <w:pStyle w:val="BodyText"/>
      </w:pPr>
      <w:r>
        <w:rPr>
          <w:bCs/>
          <w:b/>
        </w:rPr>
        <w:t xml:space="preserve">Address:</w:t>
      </w:r>
      <w:r>
        <w:t xml:space="preserve"> </w:t>
      </w:r>
      <w:r>
        <w:t xml:space="preserve">Av. Santa Fe 2340, Piso 8</w:t>
      </w:r>
    </w:p>
    <w:p>
      <w:pPr>
        <w:pStyle w:val="BodyText"/>
      </w:pPr>
      <w:r>
        <w:t xml:space="preserve">Ciudad Autónoma de Buenos Aires, Argentina</w:t>
      </w:r>
    </w:p>
    <w:p>
      <w:pPr>
        <w:pStyle w:val="BodyText"/>
      </w:pPr>
      <w:r>
        <w:rPr>
          <w:bCs/>
          <w:b/>
        </w:rPr>
        <w:t xml:space="preserve">CUIT:</w:t>
      </w:r>
      <w:r>
        <w:t xml:space="preserve"> </w:t>
      </w:r>
      <w:r>
        <w:t xml:space="preserve">30-71234567-8</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Legal Services Rendered</w:t>
            </w:r>
          </w:p>
        </w:tc>
        <w:tc>
          <w:tcPr/>
          <w:p>
            <w:pPr>
              <w:pStyle w:val="Compact"/>
              <w:jc w:val="left"/>
            </w:pPr>
            <w:r>
              <w:t xml:space="preserve">Date(s) Performed</w:t>
            </w:r>
          </w:p>
        </w:tc>
        <w:tc>
          <w:tcPr/>
          <w:p>
            <w:pPr>
              <w:pStyle w:val="Compact"/>
              <w:jc w:val="left"/>
            </w:pPr>
            <w:r>
              <w:t xml:space="preserve">Hours</w:t>
            </w:r>
          </w:p>
        </w:tc>
        <w:tc>
          <w:tcPr/>
          <w:p>
            <w:pPr>
              <w:pStyle w:val="Compact"/>
              <w:jc w:val="left"/>
            </w:pPr>
            <w:r>
              <w:t xml:space="preserve">Rate (ARS)</w:t>
            </w:r>
          </w:p>
        </w:tc>
        <w:tc>
          <w:tcPr/>
          <w:p>
            <w:pPr>
              <w:pStyle w:val="Compact"/>
              <w:jc w:val="left"/>
            </w:pPr>
            <w:r>
              <w:t xml:space="preserve">Amount (ARS)</w:t>
            </w:r>
          </w:p>
        </w:tc>
      </w:tr>
      <w:tr>
        <w:tc>
          <w:tcPr/>
          <w:p>
            <w:pPr>
              <w:pStyle w:val="Compact"/>
              <w:jc w:val="left"/>
            </w:pPr>
            <w:r>
              <w:t xml:space="preserve">1</w:t>
            </w:r>
          </w:p>
        </w:tc>
        <w:tc>
          <w:tcPr/>
          <w:p>
            <w:pPr>
              <w:pStyle w:val="Compact"/>
              <w:jc w:val="left"/>
            </w:pPr>
            <w:r>
              <w:t xml:space="preserve">Initial legal consultation and case assessment regarding commercial contract dispute with third-party vendor. The Lawyer reviewed all existing documentation, identified potential breaches of contract under Argentine Civil and Commercial Code (Código Civil y Comercial de la Nación), and prepared a preliminary legal strategy memorandum.</w:t>
            </w:r>
          </w:p>
        </w:tc>
        <w:tc>
          <w:tcPr/>
          <w:p>
            <w:pPr>
              <w:pStyle w:val="Compact"/>
              <w:jc w:val="left"/>
            </w:pPr>
            <w:r>
              <w:t xml:space="preserve">May 5, 2025</w:t>
            </w:r>
          </w:p>
        </w:tc>
        <w:tc>
          <w:tcPr/>
          <w:p>
            <w:pPr>
              <w:pStyle w:val="Compact"/>
              <w:jc w:val="left"/>
            </w:pPr>
            <w:r>
              <w:t xml:space="preserve">3.5</w:t>
            </w:r>
          </w:p>
        </w:tc>
        <w:tc>
          <w:tcPr/>
          <w:p>
            <w:pPr>
              <w:pStyle w:val="Compact"/>
              <w:jc w:val="left"/>
            </w:pPr>
            <w:r>
              <w:t xml:space="preserve">45,000</w:t>
            </w:r>
          </w:p>
        </w:tc>
        <w:tc>
          <w:tcPr/>
          <w:p>
            <w:pPr>
              <w:pStyle w:val="Compact"/>
              <w:jc w:val="left"/>
            </w:pPr>
            <w:r>
              <w:t xml:space="preserve">157,500</w:t>
            </w:r>
          </w:p>
        </w:tc>
      </w:tr>
      <w:tr>
        <w:tc>
          <w:tcPr/>
          <w:p>
            <w:pPr>
              <w:pStyle w:val="Compact"/>
              <w:jc w:val="left"/>
            </w:pPr>
            <w:r>
              <w:t xml:space="preserve">2</w:t>
            </w:r>
          </w:p>
        </w:tc>
        <w:tc>
          <w:tcPr/>
          <w:p>
            <w:pPr>
              <w:pStyle w:val="Compact"/>
              <w:jc w:val="left"/>
            </w:pPr>
            <w:r>
              <w:t xml:space="preserve">Drafting and filing of formal demand letter (burocrática) to opposing party, including legal grounds, evidence annexes, and proposed settlement terms. The Lawyer coordinated with the client's finance department to quantify damages and losses sustained.</w:t>
            </w:r>
          </w:p>
        </w:tc>
        <w:tc>
          <w:tcPr/>
          <w:p>
            <w:pPr>
              <w:pStyle w:val="Compact"/>
              <w:jc w:val="left"/>
            </w:pPr>
            <w:r>
              <w:t xml:space="preserve">May 12, 2025</w:t>
            </w:r>
          </w:p>
        </w:tc>
        <w:tc>
          <w:tcPr/>
          <w:p>
            <w:pPr>
              <w:pStyle w:val="Compact"/>
              <w:jc w:val="left"/>
            </w:pPr>
            <w:r>
              <w:t xml:space="preserve">4.0</w:t>
            </w:r>
          </w:p>
        </w:tc>
        <w:tc>
          <w:tcPr/>
          <w:p>
            <w:pPr>
              <w:pStyle w:val="Compact"/>
              <w:jc w:val="left"/>
            </w:pPr>
            <w:r>
              <w:t xml:space="preserve">45,000</w:t>
            </w:r>
          </w:p>
        </w:tc>
        <w:tc>
          <w:tcPr/>
          <w:p>
            <w:pPr>
              <w:pStyle w:val="Compact"/>
              <w:jc w:val="left"/>
            </w:pPr>
            <w:r>
              <w:t xml:space="preserve">180,000</w:t>
            </w:r>
          </w:p>
        </w:tc>
      </w:tr>
      <w:tr>
        <w:tc>
          <w:tcPr/>
          <w:p>
            <w:pPr>
              <w:pStyle w:val="Compact"/>
              <w:jc w:val="left"/>
            </w:pPr>
            <w:r>
              <w:t xml:space="preserve">3</w:t>
            </w:r>
          </w:p>
        </w:tc>
        <w:tc>
          <w:tcPr/>
          <w:p>
            <w:pPr>
              <w:pStyle w:val="Compact"/>
              <w:jc w:val="left"/>
            </w:pPr>
            <w:r>
              <w:t xml:space="preserve">Preparation and filing of formal lawsuit (demanda judicial) before the Juzgado Comercial N° 7, Ciudad Autónoma de Buenos Aires. This included drafting the complaint (escrito de demanda), attaching supporting evidence, calculating court fees (tasas judiciales), and scheduling the initial hearing.</w:t>
            </w:r>
          </w:p>
        </w:tc>
        <w:tc>
          <w:tcPr/>
          <w:p>
            <w:pPr>
              <w:pStyle w:val="Compact"/>
              <w:jc w:val="left"/>
            </w:pPr>
            <w:r>
              <w:t xml:space="preserve">May 20 – May 28, 2025</w:t>
            </w:r>
          </w:p>
        </w:tc>
        <w:tc>
          <w:tcPr/>
          <w:p>
            <w:pPr>
              <w:pStyle w:val="Compact"/>
              <w:jc w:val="left"/>
            </w:pPr>
            <w:r>
              <w:t xml:space="preserve">12.0</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4</w:t>
            </w:r>
          </w:p>
        </w:tc>
        <w:tc>
          <w:tcPr/>
          <w:p>
            <w:pPr>
              <w:pStyle w:val="Compact"/>
              <w:jc w:val="left"/>
            </w:pPr>
            <w:r>
              <w:t xml:space="preserve">Representation at initial court hearing (audiencia de conciliación) before the Commercial Court in Buenos Aires. The Lawyer presented oral arguments, cross-examined opposing counsel's witnesses, and submitted additional documentary evidence to the court record.</w:t>
            </w:r>
          </w:p>
        </w:tc>
        <w:tc>
          <w:tcPr/>
          <w:p>
            <w:pPr>
              <w:pStyle w:val="Compact"/>
              <w:jc w:val="left"/>
            </w:pPr>
            <w:r>
              <w:t xml:space="preserve">June 3, 2025</w:t>
            </w:r>
          </w:p>
        </w:tc>
        <w:tc>
          <w:tcPr/>
          <w:p>
            <w:pPr>
              <w:pStyle w:val="Compact"/>
              <w:jc w:val="left"/>
            </w:pPr>
            <w:r>
              <w:t xml:space="preserve">6.0</w:t>
            </w:r>
          </w:p>
        </w:tc>
        <w:tc>
          <w:tcPr/>
          <w:p>
            <w:pPr>
              <w:pStyle w:val="Compact"/>
              <w:jc w:val="left"/>
            </w:pPr>
            <w:r>
              <w:t xml:space="preserve">55,000</w:t>
            </w:r>
          </w:p>
        </w:tc>
        <w:tc>
          <w:tcPr/>
          <w:p>
            <w:pPr>
              <w:pStyle w:val="Compact"/>
              <w:jc w:val="left"/>
            </w:pPr>
            <w:r>
              <w:t xml:space="preserve">330,000</w:t>
            </w:r>
          </w:p>
        </w:tc>
      </w:tr>
      <w:tr>
        <w:tc>
          <w:tcPr/>
          <w:p>
            <w:pPr>
              <w:pStyle w:val="Compact"/>
              <w:jc w:val="left"/>
            </w:pPr>
            <w:r>
              <w:t xml:space="preserve">5</w:t>
            </w:r>
          </w:p>
        </w:tc>
        <w:tc>
          <w:tcPr/>
          <w:p>
            <w:pPr>
              <w:pStyle w:val="Compact"/>
              <w:jc w:val="left"/>
            </w:pPr>
            <w:r>
              <w:t xml:space="preserve">Post-hearing legal analysis and preparation of written brief (alegatos) summarizing arguments for the court. The Lawyer conducted extensive research in Argentine jurisprudence (jurisprudencia) and legal doctrine to strengthen the client's position regarding contractual interpretation and penalty clauses.</w:t>
            </w:r>
          </w:p>
        </w:tc>
        <w:tc>
          <w:tcPr/>
          <w:p>
            <w:pPr>
              <w:pStyle w:val="Compact"/>
              <w:jc w:val="left"/>
            </w:pPr>
            <w:r>
              <w:t xml:space="preserve">June 5 – June 12, 2025</w:t>
            </w:r>
          </w:p>
        </w:tc>
        <w:tc>
          <w:tcPr/>
          <w:p>
            <w:pPr>
              <w:pStyle w:val="Compact"/>
              <w:jc w:val="left"/>
            </w:pPr>
            <w:r>
              <w:t xml:space="preserve">8.5</w:t>
            </w:r>
          </w:p>
        </w:tc>
        <w:tc>
          <w:tcPr/>
          <w:p>
            <w:pPr>
              <w:pStyle w:val="Compact"/>
              <w:jc w:val="left"/>
            </w:pPr>
            <w:r>
              <w:t xml:space="preserve">45,000</w:t>
            </w:r>
          </w:p>
        </w:tc>
        <w:tc>
          <w:tcPr/>
          <w:p>
            <w:pPr>
              <w:pStyle w:val="Compact"/>
              <w:jc w:val="left"/>
            </w:pPr>
            <w:r>
              <w:t xml:space="preserve">382,500</w:t>
            </w:r>
          </w:p>
        </w:tc>
      </w:tr>
      <w:tr>
        <w:tc>
          <w:tcPr/>
          <w:p>
            <w:pPr>
              <w:pStyle w:val="Compact"/>
              <w:jc w:val="left"/>
            </w:pPr>
            <w:r>
              <w:t xml:space="preserve">6</w:t>
            </w:r>
          </w:p>
        </w:tc>
        <w:tc>
          <w:tcPr/>
          <w:p>
            <w:pPr>
              <w:pStyle w:val="Compact"/>
              <w:jc w:val="left"/>
            </w:pPr>
            <w:r>
              <w:t xml:space="preserve">Client advisory meeting regarding settlement negotiations. The Lawyer evaluated the opposing party's counter-offer, provided risk assessment, and recommended a negotiated resolution framework to minimize further litigation costs and timeline in the Buenos Aires commercial court system.</w:t>
            </w:r>
          </w:p>
        </w:tc>
        <w:tc>
          <w:tcPr/>
          <w:p>
            <w:pPr>
              <w:pStyle w:val="Compact"/>
              <w:jc w:val="left"/>
            </w:pPr>
            <w:r>
              <w:t xml:space="preserve">June 13, 2025</w:t>
            </w:r>
          </w:p>
        </w:tc>
        <w:tc>
          <w:tcPr/>
          <w:p>
            <w:pPr>
              <w:pStyle w:val="Compact"/>
              <w:jc w:val="left"/>
            </w:pPr>
            <w:r>
              <w:t xml:space="preserve">2.0</w:t>
            </w:r>
          </w:p>
        </w:tc>
        <w:tc>
          <w:tcPr/>
          <w:p>
            <w:pPr>
              <w:pStyle w:val="Compact"/>
              <w:jc w:val="left"/>
            </w:pPr>
            <w:r>
              <w:t xml:space="preserve">45,000</w:t>
            </w:r>
          </w:p>
        </w:tc>
        <w:tc>
          <w:tcPr/>
          <w:p>
            <w:pPr>
              <w:pStyle w:val="Compact"/>
              <w:jc w:val="left"/>
            </w:pPr>
            <w:r>
              <w:t xml:space="preserve">90,000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(Professional Fees)</w:t>
            </w:r>
          </w:p>
        </w:tc>
        <w:tc>
          <w:tcPr/>
          <w:p>
            <w:pPr>
              <w:pStyle w:val="Compact"/>
              <w:jc w:val="right"/>
            </w:pPr>
            <w:r>
              <w:t xml:space="preserve">1,680,000.00</w:t>
            </w:r>
          </w:p>
        </w:tc>
      </w:tr>
      <w:tr>
        <w:tc>
          <w:tcPr/>
          <w:p>
            <w:pPr>
              <w:pStyle w:val="Compact"/>
              <w:jc w:val="left"/>
            </w:pPr>
            <w:r>
              <w:t xml:space="preserve">Court Fees &amp; Filing Charges (Tasas Judiciales)</w:t>
            </w:r>
          </w:p>
        </w:tc>
        <w:tc>
          <w:tcPr/>
          <w:p>
            <w:pPr>
              <w:pStyle w:val="Compact"/>
              <w:jc w:val="right"/>
            </w:pPr>
            <w:r>
              <w:t xml:space="preserve">87,500.00</w:t>
            </w:r>
          </w:p>
        </w:tc>
      </w:tr>
      <w:tr>
        <w:tc>
          <w:tcPr/>
          <w:p>
            <w:pPr>
              <w:pStyle w:val="Compact"/>
              <w:jc w:val="left"/>
            </w:pPr>
            <w:r>
              <w:t xml:space="preserve">Notary &amp; Certification Costs</w:t>
            </w:r>
          </w:p>
        </w:tc>
        <w:tc>
          <w:tcPr/>
          <w:p>
            <w:pPr>
              <w:pStyle w:val="Compact"/>
              <w:jc w:val="right"/>
            </w:pPr>
            <w:r>
              <w:t xml:space="preserve">23,400.00</w:t>
            </w:r>
          </w:p>
        </w:tc>
      </w:tr>
      <w:tr>
        <w:tc>
          <w:tcPr/>
          <w:p>
            <w:pPr>
              <w:pStyle w:val="Compact"/>
              <w:jc w:val="left"/>
            </w:pPr>
            <w:r>
              <w:t xml:space="preserve">Subtotal Before VAT</w:t>
            </w:r>
          </w:p>
        </w:tc>
        <w:tc>
          <w:tcPr/>
          <w:p>
            <w:pPr>
              <w:pStyle w:val="Compact"/>
              <w:jc w:val="right"/>
            </w:pPr>
            <w:r>
              <w:t xml:space="preserve">1,790,900.00</w:t>
            </w:r>
          </w:p>
        </w:tc>
      </w:tr>
      <w:tr>
        <w:tc>
          <w:tcPr/>
          <w:p>
            <w:pPr>
              <w:pStyle w:val="Compact"/>
              <w:jc w:val="left"/>
            </w:pPr>
            <w:r>
              <w:t xml:space="preserve">VAT (IVA 21%)</w:t>
            </w:r>
          </w:p>
        </w:tc>
        <w:tc>
          <w:tcPr/>
          <w:p>
            <w:pPr>
              <w:pStyle w:val="Compact"/>
              <w:jc w:val="right"/>
            </w:pPr>
            <w:r>
              <w:t xml:space="preserve">376,089.00</w:t>
            </w:r>
          </w:p>
        </w:tc>
      </w:tr>
      <w:tr>
        <w:tc>
          <w:tcPr/>
          <w:p>
            <w:pPr>
              <w:pStyle w:val="Compact"/>
              <w:jc w:val="left"/>
            </w:pPr>
            <w:r>
              <w:t xml:space="preserve">TOTAL AMOUNT DUE</w:t>
            </w:r>
          </w:p>
        </w:tc>
        <w:tc>
          <w:tcPr/>
          <w:p>
            <w:pPr>
              <w:pStyle w:val="Compact"/>
              <w:jc w:val="right"/>
            </w:pPr>
            <w:r>
              <w:t xml:space="preserve">2,166,989.00 ARS</w:t>
            </w:r>
          </w:p>
        </w:tc>
      </w:tr>
    </w:tbl>
    <w:p>
      <w:pPr>
        <w:pStyle w:val="BodyText"/>
      </w:pPr>
      <w:r>
        <w:t xml:space="preserve">* VAT (Impuesto al Valor Agregado) applied at the standard rate of 21% as per Argentine tax regulations (AFIP). Court fees and notary costs are non-taxable items but included for transparency.</w:t>
      </w:r>
    </w:p>
    <w:bookmarkStart w:id="25" w:name="payment-terms-conditions"/>
    <w:p>
      <w:pPr>
        <w:pStyle w:val="Heading3"/>
      </w:pPr>
      <w:r>
        <w:t xml:space="preserve">Payment Terms &amp; Conditions</w:t>
      </w:r>
    </w:p>
    <w:p>
      <w:pPr>
        <w:numPr>
          <w:ilvl w:val="0"/>
          <w:numId w:val="1001"/>
        </w:numPr>
        <w:pStyle w:val="Compact"/>
      </w:pPr>
      <w:r>
        <w:t xml:space="preserve">This Invoice must be settled in full within thirty (30) calendar days from the date of issue, no later than</w:t>
      </w:r>
      <w:r>
        <w:t xml:space="preserve"> </w:t>
      </w:r>
      <w:r>
        <w:rPr>
          <w:bCs/>
          <w:b/>
        </w:rPr>
        <w:t xml:space="preserve">July 15, 2025</w:t>
      </w:r>
      <w:r>
        <w:t xml:space="preserve">.</w:t>
      </w:r>
    </w:p>
    <w:p>
      <w:pPr>
        <w:numPr>
          <w:ilvl w:val="0"/>
          <w:numId w:val="1001"/>
        </w:numPr>
        <w:pStyle w:val="Compact"/>
      </w:pPr>
      <w:r>
        <w:t xml:space="preserve">Payment shall be made via bank transfer to: Banco de la Nación Argentina, CBU: 011000100000123456789013, CUIT: 30-54871236-9. Reference: Invoice GA-2025-00487.</w:t>
      </w:r>
    </w:p>
    <w:p>
      <w:pPr>
        <w:numPr>
          <w:ilvl w:val="0"/>
          <w:numId w:val="1001"/>
        </w:numPr>
        <w:pStyle w:val="Compact"/>
      </w:pPr>
      <w:r>
        <w:t xml:space="preserve">Alternatively, payment may be made by certified cheque (cheque certificado) payable to "García, Mendoza &amp; Asociados S.R.L." delivered to our offices in Buenos Aires.</w:t>
      </w:r>
    </w:p>
    <w:p>
      <w:pPr>
        <w:numPr>
          <w:ilvl w:val="0"/>
          <w:numId w:val="1001"/>
        </w:numPr>
        <w:pStyle w:val="Compact"/>
      </w:pPr>
      <w:r>
        <w:t xml:space="preserve">Late payments shall accrue interest at the rate established by the Banco Central de la República Argentina (BCRA) for overdue commercial obligations, calculated daily from the due date until full settlement.</w:t>
      </w:r>
    </w:p>
    <w:p>
      <w:pPr>
        <w:numPr>
          <w:ilvl w:val="0"/>
          <w:numId w:val="1001"/>
        </w:numPr>
        <w:pStyle w:val="Compact"/>
      </w:pPr>
      <w:r>
        <w:t xml:space="preserve">In the event of non-payment within the stipulated period, the Lawyer reserves the right to suspend all ongoing legal representation and file a claim for unpaid professional fees before the appropriate court in Argentina Buenos Aires.</w:t>
      </w:r>
    </w:p>
    <w:p>
      <w:pPr>
        <w:numPr>
          <w:ilvl w:val="0"/>
          <w:numId w:val="1001"/>
        </w:numPr>
        <w:pStyle w:val="Compact"/>
      </w:pPr>
      <w:r>
        <w:t xml:space="preserve">All amounts are expressed in Argentine Pesos (ARS). In the event of significant currency devaluation, the parties may renegotiate the fee structure in accordance with the terms of the original retainer agreement.</w:t>
      </w:r>
    </w:p>
    <w:bookmarkEnd w:id="25"/>
    <w:bookmarkStart w:id="26" w:name="X905ab842b885e1cebc534cc5140bfc2a72b6342"/>
    <w:p>
      <w:pPr>
        <w:pStyle w:val="Heading3"/>
      </w:pPr>
      <w:r>
        <w:t xml:space="preserve">Important Legal Notice Regarding This Invoice</w:t>
      </w:r>
    </w:p>
    <w:p>
      <w:pPr>
        <w:pStyle w:val="FirstParagraph"/>
      </w:pPr>
      <w:r>
        <w:t xml:space="preserve">This Invoice constitutes a formal billing document issued by the undersigned Lawyer and legal firm in accordance with the professional regulations of the Colegio de Abogados de la Ciudad de Buenos Aires and the applicable provisions of the Argentine Civil and Commercial Code. The services described herein were rendered in the capacity of legal counsel and advocate (abogado) representing the interests of the client before the judicial and administrative authorities of the Ciudad Autónoma de Buenos Aires, Argentina.</w:t>
      </w:r>
    </w:p>
    <w:p>
      <w:pPr>
        <w:pStyle w:val="BodyText"/>
      </w:pPr>
      <w:r>
        <w:t xml:space="preserve">The fees charged reflect the professional judgment of the Lawyer regarding the complexity, duration, and value of the legal services provided. All time entries have been recorded in the firm's electronic time-tracking system and are available for review upon the client's written request. This Invoice does not constitute a guarantee of any particular legal outcome, as the results of judicial proceedings are subject to the discretion of the court and the applicable law of Argentina.</w:t>
      </w:r>
    </w:p>
    <w:p>
      <w:pPr>
        <w:pStyle w:val="BodyText"/>
      </w:pPr>
      <w:r>
        <w:t xml:space="preserve">By accepting this Invoice, the client acknowledges receipt of the services described and agrees to the payment terms outlined above. Any disputes regarding the amounts billed shall be resolved through the mediation process established by the Ley de Mediación (Law 26.854) before submission to the competent courts of Buenos Aires.</w:t>
      </w:r>
    </w:p>
    <w:bookmarkEnd w:id="26"/>
    <w:p>
      <w:pPr>
        <w:pStyle w:val="BodyText"/>
      </w:pPr>
      <w:r>
        <w:rPr>
          <w:bCs/>
          <w:b/>
        </w:rPr>
        <w:t xml:space="preserve">Dr. Ricardo A. García</w:t>
      </w:r>
      <w:r>
        <w:br/>
      </w:r>
      <w:r>
        <w:t xml:space="preserve">Lead Attorney / Firm Partner</w:t>
      </w:r>
      <w:r>
        <w:br/>
      </w:r>
      <w:r>
        <w:t xml:space="preserve">Mat. N° 48.291 – Col. Abog. CABA</w:t>
      </w:r>
      <w:r>
        <w:br/>
      </w:r>
      <w:r>
        <w:rPr>
          <w:iCs/>
          <w:i/>
        </w:rPr>
        <w:t xml:space="preserve">Issuing Lawyer</w:t>
      </w:r>
    </w:p>
    <w:p>
      <w:pPr>
        <w:pStyle w:val="BodyText"/>
      </w:pPr>
      <w:r>
        <w:rPr>
          <w:bCs/>
          <w:b/>
        </w:rPr>
        <w:t xml:space="preserve">Lic. Valentina Mendoza</w:t>
      </w:r>
      <w:r>
        <w:br/>
      </w:r>
      <w:r>
        <w:t xml:space="preserve">Associate Attorney</w:t>
      </w:r>
      <w:r>
        <w:br/>
      </w:r>
      <w:r>
        <w:t xml:space="preserve">Mat. N° 52.104 – Col. Abog. CABA</w:t>
      </w:r>
      <w:r>
        <w:br/>
      </w:r>
      <w:r>
        <w:rPr>
          <w:iCs/>
          <w:i/>
        </w:rPr>
        <w:t xml:space="preserve">Prepared by</w:t>
      </w:r>
    </w:p>
    <w:p>
      <w:pPr>
        <w:pStyle w:val="BodyText"/>
      </w:pPr>
      <w:r>
        <w:rPr>
          <w:bCs/>
          <w:b/>
        </w:rPr>
        <w:t xml:space="preserve">García, Mendoza &amp; Asociados S.R.L.</w:t>
      </w:r>
      <w:r>
        <w:t xml:space="preserve"> </w:t>
      </w:r>
      <w:r>
        <w:t xml:space="preserve">| Av. Corrientes 1250, Piso 14, C1043AAL, Ciudad Autónoma de Buenos Aires, Argentina</w:t>
      </w:r>
    </w:p>
    <w:p>
      <w:pPr>
        <w:pStyle w:val="BodyText"/>
      </w:pPr>
      <w:r>
        <w:t xml:space="preserve">Tel: +54 11 4321-5678 | Email: contacto@garciamendoza.com.ar | Web: www.garciamendoza.com.ar</w:t>
      </w:r>
    </w:p>
    <w:p>
      <w:pPr>
        <w:pStyle w:val="BodyText"/>
      </w:pPr>
      <w:r>
        <w:t xml:space="preserve">This Invoice was generated electronically and is valid without a physical signature in accordance with Argentine electronic document regulations (Ley 25.506).</w:t>
      </w:r>
    </w:p>
    <w:p>
      <w:pPr>
        <w:pStyle w:val="BodyText"/>
      </w:pPr>
      <w:r>
        <w:t xml:space="preserve">Document reference: INV-GA-2025-00487 | Generated: June 15, 2025 | Page 1 of 1</w:t>
      </w:r>
    </w:p>
    <w:p>
      <w:pPr>
        <w:pStyle w:val="BodyText"/>
      </w:pPr>
      <w:r>
        <w:t xml:space="preserve">© 2025 García, Mendoza &amp; Asociados S.R.L. All rights reserved. This Invoice is the property of the issuing law firm and may not be reproduced without written authorization.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Invoice - Buenos Aires, Argentina</dc:title>
  <dc:creator/>
  <dc:language>en</dc:language>
  <cp:keywords/>
  <dcterms:created xsi:type="dcterms:W3CDTF">2026-10-10T08:41:34Z</dcterms:created>
  <dcterms:modified xsi:type="dcterms:W3CDTF">2026-10-10T08:41:34Z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