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Lawyer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Issued in accordance with the Commercial Code of the Province of Córdoba, Argentina</w:t>
      </w:r>
    </w:p>
    <w:bookmarkEnd w:id="20"/>
    <w:p>
      <w:pPr>
        <w:pStyle w:val="BodyText"/>
      </w:pPr>
      <w:r>
        <w:rPr>
          <w:bCs/>
          <w:b/>
        </w:rPr>
        <w:t xml:space="preserve">Law Firm:</w:t>
      </w:r>
      <w:r>
        <w:t xml:space="preserve"> </w:t>
      </w:r>
      <w:r>
        <w:t xml:space="preserve">Estudio Jurídico Mendoza &amp; Asociados</w:t>
      </w:r>
      <w:r>
        <w:br/>
      </w:r>
      <w:r>
        <w:rPr>
          <w:bCs/>
          <w:b/>
        </w:rPr>
        <w:t xml:space="preserve">Address:</w:t>
      </w:r>
      <w:r>
        <w:t xml:space="preserve"> </w:t>
      </w:r>
      <w:r>
        <w:t xml:space="preserve">Av. Hipólito Yrigoyen 1245, Piso 8, Oficina 803</w:t>
      </w:r>
      <w:r>
        <w:br/>
      </w:r>
      <w:r>
        <w:rPr>
          <w:bCs/>
          <w:b/>
        </w:rPr>
        <w:t xml:space="preserve">City:</w:t>
      </w:r>
      <w:r>
        <w:t xml:space="preserve"> </w:t>
      </w:r>
      <w:r>
        <w:t xml:space="preserve">Córdoba Capital, Provincia de Córdoba, Argentina</w:t>
      </w:r>
      <w:r>
        <w:br/>
      </w:r>
      <w:r>
        <w:rPr>
          <w:bCs/>
          <w:b/>
        </w:rPr>
        <w:t xml:space="preserve">CUIT:</w:t>
      </w:r>
      <w:r>
        <w:t xml:space="preserve"> </w:t>
      </w:r>
      <w:r>
        <w:t xml:space="preserve">30-54872361-9</w:t>
      </w:r>
      <w:r>
        <w:br/>
      </w:r>
      <w:r>
        <w:rPr>
          <w:bCs/>
          <w:b/>
        </w:rPr>
        <w:t xml:space="preserve">Bar Registration:</w:t>
      </w:r>
      <w:r>
        <w:t xml:space="preserve"> </w:t>
      </w:r>
      <w:r>
        <w:t xml:space="preserve">Colegio de Abogados de Córdoba, Mat. N° 45.892</w:t>
      </w:r>
      <w:r>
        <w:br/>
      </w:r>
      <w:r>
        <w:rPr>
          <w:bCs/>
          <w:b/>
        </w:rPr>
        <w:t xml:space="preserve">Phone:</w:t>
      </w:r>
      <w:r>
        <w:t xml:space="preserve"> </w:t>
      </w:r>
      <w:r>
        <w:t xml:space="preserve">+54 (351) 422-8890</w:t>
      </w:r>
      <w:r>
        <w:br/>
      </w:r>
      <w:r>
        <w:rPr>
          <w:bCs/>
          <w:b/>
        </w:rPr>
        <w:t xml:space="preserve">Email:</w:t>
      </w:r>
      <w:r>
        <w:t xml:space="preserve"> </w:t>
      </w:r>
      <w:r>
        <w:t xml:space="preserve">contacto@mendoza-asociados.ar</w:t>
      </w:r>
    </w:p>
    <w:p>
      <w:pPr>
        <w:pStyle w:val="BodyText"/>
      </w:pPr>
      <w:r>
        <w:rPr>
          <w:bCs/>
          <w:b/>
        </w:rPr>
        <w:t xml:space="preserve">INVOICE N°:</w:t>
      </w:r>
      <w:r>
        <w:t xml:space="preserve"> </w:t>
      </w:r>
      <w:r>
        <w:t xml:space="preserve">INV-2025-00347</w:t>
      </w:r>
      <w:r>
        <w:br/>
      </w:r>
      <w:r>
        <w:rPr>
          <w:bCs/>
          <w:b/>
        </w:rPr>
        <w:t xml:space="preserve">DATE OF ISSUE:</w:t>
      </w:r>
      <w:r>
        <w:t xml:space="preserve"> </w:t>
      </w:r>
      <w:r>
        <w:t xml:space="preserve">June 12, 2025</w:t>
      </w:r>
      <w:r>
        <w:br/>
      </w:r>
      <w:r>
        <w:rPr>
          <w:bCs/>
          <w:b/>
        </w:rPr>
        <w:t xml:space="preserve">DUE DATE:</w:t>
      </w:r>
      <w:r>
        <w:t xml:space="preserve"> </w:t>
      </w:r>
      <w:r>
        <w:t xml:space="preserve">July 12, 2025</w:t>
      </w:r>
      <w:r>
        <w:br/>
      </w:r>
      <w:r>
        <w:rPr>
          <w:bCs/>
          <w:b/>
        </w:rPr>
        <w:t xml:space="preserve">CURRENCY:</w:t>
      </w:r>
      <w:r>
        <w:t xml:space="preserve"> </w:t>
      </w:r>
      <w:r>
        <w:t xml:space="preserve">Argentine Peso (ARS)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t xml:space="preserve">Comercial Andina S.A.</w:t>
            </w:r>
          </w:p>
        </w:tc>
      </w:tr>
      <w:tr>
        <w:tc>
          <w:tcPr/>
          <w:p>
            <w:pPr>
              <w:pStyle w:val="Compact"/>
              <w:jc w:val="left"/>
            </w:pPr>
            <w:r>
              <w:t xml:space="preserve">Representative:</w:t>
            </w:r>
          </w:p>
        </w:tc>
        <w:tc>
          <w:tcPr/>
          <w:p>
            <w:pPr>
              <w:pStyle w:val="Compact"/>
              <w:jc w:val="left"/>
            </w:pPr>
            <w:r>
              <w:t xml:space="preserve">Ing. Roberto Salazar</w:t>
            </w:r>
          </w:p>
        </w:tc>
      </w:tr>
      <w:tr>
        <w:tc>
          <w:tcPr/>
          <w:p>
            <w:pPr>
              <w:pStyle w:val="Compact"/>
              <w:jc w:val="left"/>
            </w:pPr>
            <w:r>
              <w:t xml:space="preserve">Address:</w:t>
            </w:r>
          </w:p>
        </w:tc>
        <w:tc>
          <w:tcPr/>
          <w:p>
            <w:pPr>
              <w:pStyle w:val="Compact"/>
              <w:jc w:val="left"/>
            </w:pPr>
            <w:r>
              <w:t xml:space="preserve">Av. Vélez Sarsfield 2100, B° Alta Córdoba</w:t>
            </w:r>
          </w:p>
        </w:tc>
      </w:tr>
      <w:tr>
        <w:tc>
          <w:tcPr/>
          <w:p>
            <w:pPr>
              <w:pStyle w:val="Compact"/>
              <w:jc w:val="left"/>
            </w:pPr>
            <w:r>
              <w:t xml:space="preserve">City:</w:t>
            </w:r>
          </w:p>
        </w:tc>
        <w:tc>
          <w:tcPr/>
          <w:p>
            <w:pPr>
              <w:pStyle w:val="Compact"/>
              <w:jc w:val="left"/>
            </w:pPr>
            <w:r>
              <w:t xml:space="preserve">Córdoba, Argentina</w:t>
            </w:r>
          </w:p>
        </w:tc>
      </w:tr>
      <w:tr>
        <w:tc>
          <w:tcPr/>
          <w:p>
            <w:pPr>
              <w:pStyle w:val="Compact"/>
              <w:jc w:val="left"/>
            </w:pPr>
            <w:r>
              <w:t xml:space="preserve">CUIT:</w:t>
            </w:r>
          </w:p>
        </w:tc>
        <w:tc>
          <w:tcPr/>
          <w:p>
            <w:pPr>
              <w:pStyle w:val="Compact"/>
              <w:jc w:val="left"/>
            </w:pPr>
            <w:r>
              <w:t xml:space="preserve">30-71234567-2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Reference:</w:t>
            </w:r>
          </w:p>
        </w:tc>
        <w:tc>
          <w:tcPr/>
          <w:p>
            <w:pPr>
              <w:pStyle w:val="Compact"/>
              <w:jc w:val="left"/>
            </w:pPr>
            <w:r>
              <w:t xml:space="preserve">Contract Dispute — File N° 2025-1184</w:t>
            </w:r>
          </w:p>
        </w:tc>
      </w:tr>
      <w:tr>
        <w:tc>
          <w:tcPr/>
          <w:p>
            <w:pPr>
              <w:pStyle w:val="Compact"/>
              <w:jc w:val="left"/>
            </w:pPr>
            <w:r>
              <w:t xml:space="preserve">Engagement:</w:t>
            </w:r>
          </w:p>
        </w:tc>
        <w:tc>
          <w:tcPr/>
          <w:p>
            <w:pPr>
              <w:pStyle w:val="Compact"/>
              <w:jc w:val="left"/>
            </w:pPr>
            <w:r>
              <w:t xml:space="preserve">Full Legal Representation</w:t>
            </w:r>
          </w:p>
        </w:tc>
      </w:tr>
      <w:tr>
        <w:tc>
          <w:tcPr/>
          <w:p>
            <w:pPr>
              <w:pStyle w:val="Compact"/>
              <w:jc w:val="left"/>
            </w:pPr>
            <w:r>
              <w:t xml:space="preserve">Period:</w:t>
            </w:r>
          </w:p>
        </w:tc>
        <w:tc>
          <w:tcPr/>
          <w:p>
            <w:pPr>
              <w:pStyle w:val="Compact"/>
              <w:jc w:val="left"/>
            </w:pPr>
            <w:r>
              <w:t xml:space="preserve">March 1, 2025 – June 10, 2025</w:t>
            </w:r>
          </w:p>
        </w:tc>
      </w:tr>
      <w:tr>
        <w:tc>
          <w:tcPr/>
          <w:p>
            <w:pPr>
              <w:pStyle w:val="Compact"/>
              <w:jc w:val="left"/>
            </w:pPr>
            <w:r>
              <w:t xml:space="preserve">Attorney:</w:t>
            </w:r>
          </w:p>
        </w:tc>
        <w:tc>
          <w:tcPr/>
          <w:p>
            <w:pPr>
              <w:pStyle w:val="Compact"/>
              <w:jc w:val="left"/>
            </w:pPr>
            <w:r>
              <w:t xml:space="preserve">Dra. Carolina Mendoza</w:t>
            </w:r>
          </w:p>
        </w:tc>
      </w:tr>
    </w:tbl>
    <w:bookmarkStart w:id="21"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legal consultation and case assessment regarding commercial contract breach. The Lawyer reviewed all documentation, identified applicable provisions under the Argentine Civil and Commercial Code, and prepared a preliminary strategy memorandum for the client.</w:t>
            </w:r>
          </w:p>
        </w:tc>
        <w:tc>
          <w:tcPr/>
          <w:p>
            <w:pPr>
              <w:pStyle w:val="Compact"/>
              <w:jc w:val="left"/>
            </w:pPr>
            <w:r>
              <w:t xml:space="preserve">4 hours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Drafting and filing of formal demand letter (burocrática) to the opposing party, including legal arguments, supporting evidence annexes, and a 15-day compliance deadline as established by Córdoba provincial procedure.</w:t>
            </w:r>
          </w:p>
        </w:tc>
        <w:tc>
          <w:tcPr/>
          <w:p>
            <w:pPr>
              <w:pStyle w:val="Compact"/>
              <w:jc w:val="left"/>
            </w:pPr>
            <w:r>
              <w:t xml:space="preserve">6 hours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Preparation and submission of the formal complaint (demanda) before the Civil and Commercial Court of First Instance, Córdoba Capital. Includes drafting of the initial brief, evidence list, and request for provisional measures.</w:t>
            </w:r>
          </w:p>
        </w:tc>
        <w:tc>
          <w:tcPr/>
          <w:p>
            <w:pPr>
              <w:pStyle w:val="Compact"/>
              <w:jc w:val="left"/>
            </w:pPr>
            <w:r>
              <w:t xml:space="preserve">12 hours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Representation at the evidentiary hearing (audiencia de prueba) held on May 15, 2025, before the Honorable Court. The Lawyer cross-examined three witnesses, presented documentary evidence, and delivered oral closing arguments.</w:t>
            </w:r>
          </w:p>
        </w:tc>
        <w:tc>
          <w:tcPr/>
          <w:p>
            <w:pPr>
              <w:pStyle w:val="Compact"/>
              <w:jc w:val="left"/>
            </w:pPr>
            <w:r>
              <w:t xml:space="preserve">8 hours</w:t>
            </w:r>
          </w:p>
        </w:tc>
        <w:tc>
          <w:tcPr/>
          <w:p>
            <w:pPr>
              <w:pStyle w:val="Compact"/>
              <w:jc w:val="left"/>
            </w:pPr>
            <w:r>
              <w:t xml:space="preserve">$50,000.00</w:t>
            </w:r>
          </w:p>
        </w:tc>
        <w:tc>
          <w:tcPr/>
          <w:p>
            <w:pPr>
              <w:pStyle w:val="Compact"/>
              <w:jc w:val="left"/>
            </w:pPr>
            <w:r>
              <w:t xml:space="preserve">$400,000.00</w:t>
            </w:r>
          </w:p>
        </w:tc>
      </w:tr>
      <w:tr>
        <w:tc>
          <w:tcPr/>
          <w:p>
            <w:pPr>
              <w:pStyle w:val="Compact"/>
              <w:jc w:val="left"/>
            </w:pPr>
            <w:r>
              <w:t xml:space="preserve">5</w:t>
            </w:r>
          </w:p>
        </w:tc>
        <w:tc>
          <w:tcPr/>
          <w:p>
            <w:pPr>
              <w:pStyle w:val="Compact"/>
              <w:jc w:val="left"/>
            </w:pPr>
            <w:r>
              <w:t xml:space="preserve">Drafting of the final closing brief (alegatos de conclusión) submitted to the Court on June 5, 2025, summarizing all evidence, legal grounds, and requesting the full amount in damages plus interest calculated from the date of breach.</w:t>
            </w:r>
          </w:p>
        </w:tc>
        <w:tc>
          <w:tcPr/>
          <w:p>
            <w:pPr>
              <w:pStyle w:val="Compact"/>
              <w:jc w:val="left"/>
            </w:pPr>
            <w:r>
              <w:t xml:space="preserve">10 hours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Client communication and case management: weekly progress reports, email correspondence, two in-person meetings at the law office in Córdoba, and coordination with the client's accounting department regarding tax implications of the litigation.</w:t>
            </w:r>
          </w:p>
        </w:tc>
        <w:tc>
          <w:tcPr/>
          <w:p>
            <w:pPr>
              <w:pStyle w:val="Compact"/>
              <w:jc w:val="left"/>
            </w:pPr>
            <w:r>
              <w:t xml:space="preserve">6 hours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7</w:t>
            </w:r>
          </w:p>
        </w:tc>
        <w:tc>
          <w:tcPr/>
          <w:p>
            <w:pPr>
              <w:pStyle w:val="Compact"/>
              <w:jc w:val="left"/>
            </w:pPr>
            <w:r>
              <w:t xml:space="preserve">Payment of court filing fees, official stamps (sellos), and procedural costs as required by the Province of Córdoba. These amounts are billed at cost with no additional margin.</w:t>
            </w:r>
          </w:p>
        </w:tc>
        <w:tc>
          <w:tcPr/>
          <w:p>
            <w:pPr>
              <w:pStyle w:val="Compact"/>
              <w:jc w:val="left"/>
            </w:pPr>
            <w:r>
              <w:t xml:space="preserve">1 item</w:t>
            </w:r>
          </w:p>
        </w:tc>
        <w:tc>
          <w:tcPr/>
          <w:p>
            <w:pPr>
              <w:pStyle w:val="Compact"/>
              <w:jc w:val="left"/>
            </w:pPr>
            <w:r>
              <w:t xml:space="preserve">$87,500.00</w:t>
            </w:r>
          </w:p>
        </w:tc>
        <w:tc>
          <w:tcPr/>
          <w:p>
            <w:pPr>
              <w:pStyle w:val="Compact"/>
              <w:jc w:val="left"/>
            </w:pPr>
            <w:r>
              <w:t xml:space="preserve">$87,500.00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$2,050,000.00</w:t>
            </w:r>
          </w:p>
        </w:tc>
      </w:tr>
      <w:tr>
        <w:tc>
          <w:tcPr/>
          <w:p>
            <w:pPr>
              <w:pStyle w:val="Compact"/>
              <w:jc w:val="left"/>
            </w:pPr>
            <w:r>
              <w:t xml:space="preserve">Court Costs &amp; Official Fees</w:t>
            </w:r>
          </w:p>
        </w:tc>
        <w:tc>
          <w:tcPr/>
          <w:p>
            <w:pPr>
              <w:pStyle w:val="Compact"/>
              <w:jc w:val="right"/>
            </w:pPr>
            <w:r>
              <w:t xml:space="preserve">$87,500.00</w:t>
            </w:r>
          </w:p>
        </w:tc>
      </w:tr>
      <w:tr>
        <w:tc>
          <w:tcPr/>
          <w:p>
            <w:pPr>
              <w:pStyle w:val="Compact"/>
              <w:jc w:val="left"/>
            </w:pPr>
            <w:r>
              <w:t xml:space="preserve">Subtotal Before Tax</w:t>
            </w:r>
          </w:p>
        </w:tc>
        <w:tc>
          <w:tcPr/>
          <w:p>
            <w:pPr>
              <w:pStyle w:val="Compact"/>
              <w:jc w:val="right"/>
            </w:pPr>
            <w:r>
              <w:t xml:space="preserve">$2,137,500.00</w:t>
            </w:r>
          </w:p>
        </w:tc>
      </w:tr>
      <w:tr>
        <w:tc>
          <w:tcPr/>
          <w:p>
            <w:pPr>
              <w:pStyle w:val="Compact"/>
              <w:jc w:val="left"/>
            </w:pPr>
            <w:r>
              <w:t xml:space="preserve">IVA (21%) — Value Added Tax</w:t>
            </w:r>
          </w:p>
        </w:tc>
        <w:tc>
          <w:tcPr/>
          <w:p>
            <w:pPr>
              <w:pStyle w:val="Compact"/>
              <w:jc w:val="right"/>
            </w:pPr>
            <w:r>
              <w:t xml:space="preserve">$448,875.00</w:t>
            </w:r>
          </w:p>
        </w:tc>
      </w:tr>
      <w:tr>
        <w:tc>
          <w:tcPr/>
          <w:p>
            <w:pPr>
              <w:pStyle w:val="Compact"/>
              <w:jc w:val="left"/>
            </w:pPr>
            <w:r>
              <w:t xml:space="preserve">TOTAL AMOUNT DUE</w:t>
            </w:r>
          </w:p>
        </w:tc>
        <w:tc>
          <w:tcPr/>
          <w:p>
            <w:pPr>
              <w:pStyle w:val="Compact"/>
              <w:jc w:val="right"/>
            </w:pPr>
            <w:r>
              <w:t xml:space="preserve">$2,586,375.00</w:t>
            </w:r>
          </w:p>
        </w:tc>
      </w:tr>
    </w:tbl>
    <w:bookmarkEnd w:id="21"/>
    <w:bookmarkStart w:id="22" w:name="payment-terms-and-conditions"/>
    <w:p>
      <w:pPr>
        <w:pStyle w:val="Heading2"/>
      </w:pPr>
      <w:r>
        <w:t xml:space="preserve">Payment Terms and Conditions</w:t>
      </w:r>
    </w:p>
    <w:p>
      <w:pPr>
        <w:pStyle w:val="FirstParagraph"/>
      </w:pPr>
      <w:r>
        <w:rPr>
          <w:bCs/>
          <w:b/>
        </w:rPr>
        <w:t xml:space="preserve">Payment Method:</w:t>
      </w:r>
      <w:r>
        <w:t xml:space="preserve"> </w:t>
      </w:r>
      <w:r>
        <w:t xml:space="preserve">Bank transfer (transferencia bancaria) to the following account:</w:t>
      </w:r>
    </w:p>
    <w:p>
      <w:pPr>
        <w:pStyle w:val="BodyText"/>
      </w:pPr>
      <w:r>
        <w:rPr>
          <w:bCs/>
          <w:b/>
        </w:rPr>
        <w:t xml:space="preserve">Bank:</w:t>
      </w:r>
      <w:r>
        <w:t xml:space="preserve"> </w:t>
      </w:r>
      <w:r>
        <w:t xml:space="preserve">Banco de la Nación Argentina</w:t>
      </w:r>
      <w:r>
        <w:br/>
      </w:r>
      <w:r>
        <w:rPr>
          <w:bCs/>
          <w:b/>
        </w:rPr>
        <w:t xml:space="preserve">Account Holder:</w:t>
      </w:r>
      <w:r>
        <w:t xml:space="preserve"> </w:t>
      </w:r>
      <w:r>
        <w:t xml:space="preserve">Estudio Jurídico Mendoza &amp; Asociados</w:t>
      </w:r>
      <w:r>
        <w:br/>
      </w:r>
      <w:r>
        <w:rPr>
          <w:bCs/>
          <w:b/>
        </w:rPr>
        <w:t xml:space="preserve">CBU:</w:t>
      </w:r>
      <w:r>
        <w:t xml:space="preserve"> </w:t>
      </w:r>
      <w:r>
        <w:t xml:space="preserve">0110003100001234567890</w:t>
      </w:r>
      <w:r>
        <w:br/>
      </w:r>
      <w:r>
        <w:rPr>
          <w:bCs/>
          <w:b/>
        </w:rPr>
        <w:t xml:space="preserve">Alias:</w:t>
      </w:r>
      <w:r>
        <w:t xml:space="preserve"> </w:t>
      </w:r>
      <w:r>
        <w:t xml:space="preserve">mendoza.asociados@ban.nacion</w:t>
      </w:r>
    </w:p>
    <w:p>
      <w:pPr>
        <w:pStyle w:val="BodyText"/>
      </w:pPr>
      <w:r>
        <w:rPr>
          <w:bCs/>
          <w:b/>
        </w:rPr>
        <w:t xml:space="preserve">Due Date:</w:t>
      </w:r>
      <w:r>
        <w:t xml:space="preserve"> </w:t>
      </w:r>
      <w:r>
        <w:t xml:space="preserve">This Invoice must be settled in full within thirty (30) calendar days from the date of issue, i.e., no later than July 12, 2025. Late payments shall accrue interest at the rate established by the Central Bank of Argentina (BCRA) for overdue obligations, in accordance with Article 767 of the Argentine Civil and Commercial Code.</w:t>
      </w:r>
    </w:p>
    <w:p>
      <w:pPr>
        <w:pStyle w:val="BodyText"/>
      </w:pPr>
      <w:r>
        <w:rPr>
          <w:bCs/>
          <w:b/>
        </w:rPr>
        <w:t xml:space="preserve">Disputes:</w:t>
      </w:r>
      <w:r>
        <w:t xml:space="preserve"> </w:t>
      </w:r>
      <w:r>
        <w:t xml:space="preserve">Any dispute arising from this Invoice or the underlying legal engagement shall be resolved exclusively before the competent courts of the city of Córdoba, Province of Córdoba, Argentina, with express waiver of any other jurisdiction.</w:t>
      </w:r>
    </w:p>
    <w:bookmarkEnd w:id="22"/>
    <w:bookmarkStart w:id="23" w:name="important-legal-notices"/>
    <w:p>
      <w:pPr>
        <w:pStyle w:val="Heading2"/>
      </w:pPr>
      <w:r>
        <w:t xml:space="preserve">Important Legal Notices</w:t>
      </w:r>
    </w:p>
    <w:p>
      <w:pPr>
        <w:pStyle w:val="FirstParagraph"/>
      </w:pPr>
      <w:r>
        <w:t xml:space="preserve">This Invoice constitutes the formal billing document for all professional services rendered by the undersigned Lawyer and the law firm Estudio Jurídico Mendoza &amp; Asociados in the Province of Córdoba, Argentina. The fees set forth herein were agreed upon in the retainer contract dated February 20, 2025, and are subject to the ethical regulations of the Colegio de Abogados de Córdoba. The Lawyer reserves the right to suspend further representation in the event of non-payment of this Invoice within the stipulated period, in accordance with Article 10 of the Professional Ethics Code of the Córdoba Bar Association.</w:t>
      </w:r>
    </w:p>
    <w:p>
      <w:pPr>
        <w:pStyle w:val="BodyText"/>
      </w:pPr>
      <w:r>
        <w:t xml:space="preserve">This document is issued in compliance with the tax regulations of the Argentine Federal Administration of Public Revenue (AFIP) and the Provincial Tax Agency of Córdoba (ARCA). The Invoice number and CUIT are registered in the electronic invoicing system (Facturación Electrónica) as mandated by AFIP Resolution General N° 4292 and subsequent amendments.</w:t>
      </w:r>
    </w:p>
    <w:p>
      <w:pPr>
        <w:pStyle w:val="BodyText"/>
      </w:pPr>
      <w:r>
        <w:rPr>
          <w:bCs/>
          <w:b/>
        </w:rPr>
        <w:t xml:space="preserve">Dra. Carolina Mendoza</w:t>
      </w:r>
      <w:r>
        <w:br/>
      </w:r>
      <w:r>
        <w:t xml:space="preserve">Attorney at Law</w:t>
      </w:r>
      <w:r>
        <w:br/>
      </w:r>
      <w:r>
        <w:t xml:space="preserve">Mat. N° 45.892 — Colegio de Abogados de Córdoba</w:t>
      </w:r>
      <w:r>
        <w:br/>
      </w:r>
      <w:r>
        <w:t xml:space="preserve">CUIT: 27-28456789-1</w:t>
      </w:r>
    </w:p>
    <w:p>
      <w:pPr>
        <w:pStyle w:val="BodyText"/>
      </w:pPr>
      <w:r>
        <w:rPr>
          <w:bCs/>
          <w:b/>
        </w:rPr>
        <w:t xml:space="preserve">Client Acknowledgment</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Document Reference:</w:t>
      </w:r>
      <w:r>
        <w:t xml:space="preserve"> </w:t>
      </w:r>
      <w:r>
        <w:t xml:space="preserve">This Invoice (INV-2025-00347) is the original document. A digital copy has been transmitted to the client via email on the date of issue. This Invoice is valid for a period of ninety (90) days from the date of issue. For any queries regarding this billing document, please contact the law firm at the address listed above or by telephone at +54 (351) 422-8890 during business hours (Monday to Friday, 9:00 to 18:00, Córdoba time, GMT-3).</w:t>
      </w:r>
    </w:p>
    <w:p>
      <w:pPr>
        <w:pStyle w:val="BodyText"/>
      </w:pPr>
      <w:r>
        <w:t xml:space="preserve">— End of Invoice Document —</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Lawyer Services - Argentina Córdoba</dc:title>
  <dc:creator/>
  <dc:language>en</dc:language>
  <cp:keywords/>
  <dcterms:created xsi:type="dcterms:W3CDTF">2026-10-10T09:19:52Z</dcterms:created>
  <dcterms:modified xsi:type="dcterms:W3CDTF">2026-10-10T09:19:52Z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