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Australia</w:t>
      </w:r>
      <w:r>
        <w:t xml:space="preserve"> </w:t>
      </w:r>
      <w:r>
        <w:t xml:space="preserve">Melbourne</w:t>
      </w:r>
    </w:p>
    <w:p>
      <w:pPr>
        <w:pStyle w:val="FirstParagraph"/>
      </w:pPr>
      <w:r>
        <w:t xml:space="preserve">Harrington &amp; Voss Legal Practitioners</w:t>
      </w:r>
    </w:p>
    <w:p>
      <w:pPr>
        <w:pStyle w:val="BodyText"/>
      </w:pPr>
      <w:r>
        <w:t xml:space="preserve">Level 12, 88 Collins Street</w:t>
      </w:r>
      <w:r>
        <w:br/>
      </w:r>
      <w:r>
        <w:t xml:space="preserve">Melbourne, Victoria 3000</w:t>
      </w:r>
      <w:r>
        <w:br/>
      </w:r>
      <w:r>
        <w:t xml:space="preserve">Australia Melbourne</w:t>
      </w:r>
      <w:r>
        <w:br/>
      </w:r>
      <w:r>
        <w:t xml:space="preserve">ABN: 45 123 456 789</w:t>
      </w:r>
      <w:r>
        <w:br/>
      </w:r>
      <w:r>
        <w:t xml:space="preserve">Phone: +61 3 9421 5678</w:t>
      </w:r>
      <w:r>
        <w:br/>
      </w:r>
      <w:r>
        <w:t xml:space="preserve">Email: billing@harringtonvoss.com.au</w:t>
      </w:r>
    </w:p>
    <w:p>
      <w:pPr>
        <w:pStyle w:val="BodyText"/>
      </w:pPr>
      <w:r>
        <w:t xml:space="preserve">INVOICE</w:t>
      </w:r>
    </w:p>
    <w:p>
      <w:pPr>
        <w:pStyle w:val="BodyText"/>
      </w:pPr>
      <w:r>
        <w:rPr>
          <w:bCs/>
          <w:b/>
        </w:rPr>
        <w:t xml:space="preserve">Invoice No:</w:t>
      </w:r>
      <w:r>
        <w:t xml:space="preserve"> </w:t>
      </w:r>
      <w:r>
        <w:t xml:space="preserve">HV-2025-04872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t xml:space="preserve">Australia Melbourne</w:t>
      </w:r>
    </w:p>
    <w:bookmarkStart w:id="20" w:name="lawyer-service-provider"/>
    <w:p>
      <w:pPr>
        <w:pStyle w:val="Heading3"/>
      </w:pPr>
      <w:r>
        <w:t xml:space="preserve">Lawyer / Service Provider</w:t>
      </w:r>
    </w:p>
    <w:p>
      <w:pPr>
        <w:pStyle w:val="FirstParagraph"/>
      </w:pPr>
      <w:r>
        <w:rPr>
          <w:bCs/>
          <w:b/>
        </w:rPr>
        <w:t xml:space="preserve">Harrington &amp; Voss Legal Practitioners</w:t>
      </w:r>
      <w:r>
        <w:br/>
      </w:r>
      <w:r>
        <w:t xml:space="preserve">Lead Lawyer: Ms. Catherine Harrington, Solicitor</w:t>
      </w:r>
      <w:r>
        <w:br/>
      </w:r>
      <w:r>
        <w:t xml:space="preserve">Admitted to Practice: Victoria, Australia</w:t>
      </w:r>
      <w:r>
        <w:br/>
      </w:r>
      <w:r>
        <w:t xml:space="preserve">Law Society of Victoria Member No: 48291</w:t>
      </w:r>
      <w:r>
        <w:br/>
      </w:r>
      <w:r>
        <w:t xml:space="preserve">Level 12, 88 Collins Street</w:t>
      </w:r>
      <w:r>
        <w:br/>
      </w:r>
      <w:r>
        <w:t xml:space="preserve">Melbourne, Victoria 3000</w:t>
      </w:r>
      <w:r>
        <w:br/>
      </w:r>
      <w:r>
        <w:t xml:space="preserve">Australia Melbourne</w:t>
      </w:r>
    </w:p>
    <w:bookmarkEnd w:id="20"/>
    <w:bookmarkStart w:id="21" w:name="client-bill-to"/>
    <w:p>
      <w:pPr>
        <w:pStyle w:val="Heading3"/>
      </w:pPr>
      <w:r>
        <w:t xml:space="preserve">Client / Bill To</w:t>
      </w:r>
    </w:p>
    <w:p>
      <w:pPr>
        <w:pStyle w:val="FirstParagraph"/>
      </w:pPr>
      <w:r>
        <w:rPr>
          <w:bCs/>
          <w:b/>
        </w:rPr>
        <w:t xml:space="preserve">Mr. James R. Whitfield</w:t>
      </w:r>
      <w:r>
        <w:br/>
      </w:r>
      <w:r>
        <w:t xml:space="preserve">Whitfield Property Holdings Pty Ltd</w:t>
      </w:r>
      <w:r>
        <w:br/>
      </w:r>
      <w:r>
        <w:t xml:space="preserve">ACN: 098 765 432</w:t>
      </w:r>
      <w:r>
        <w:br/>
      </w:r>
      <w:r>
        <w:t xml:space="preserve">45 Swanston Street, Suite 3</w:t>
      </w:r>
      <w:r>
        <w:br/>
      </w:r>
      <w:r>
        <w:t xml:space="preserve">Melbourne, Victoria 3000</w:t>
      </w:r>
      <w:r>
        <w:br/>
      </w:r>
      <w:r>
        <w:t xml:space="preserve">Australia Melbourne</w:t>
      </w:r>
      <w:r>
        <w:br/>
      </w:r>
      <w:r>
        <w:t xml:space="preserve">ABN: 12 987 654 321</w:t>
      </w:r>
    </w:p>
    <w:bookmarkEnd w:id="21"/>
    <w:p>
      <w:pPr>
        <w:pStyle w:val="BodyText"/>
      </w:pPr>
      <w:r>
        <w:t xml:space="preserve">Description of Legal Services Rendered</w:t>
      </w:r>
    </w:p>
    <w:p>
      <w:pPr>
        <w:pStyle w:val="BodyText"/>
      </w:pPr>
      <w:r>
        <w:t xml:space="preserve">This Invoice is issued by the above-named Lawyer in Australia Melbourne in accordance with the retainer agreement dated 3 February 2025. The following legal services were provided to the Client during the billing period of 1 May 2025 to 13 June 2025. All fees are calculated in accordance with the Legal Profession Uniform Law (Victoria) and the applicable fee schedule agreed upon between the Lawyer and the Client.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Legal Service</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Initial consultation and case assessment regarding commercial property lease dispute. The Lawyer reviewed all relevant documentation, identified key legal issues, and prepared a preliminary strategy memorandum for the Client's review.</w:t>
            </w:r>
          </w:p>
        </w:tc>
        <w:tc>
          <w:tcPr/>
          <w:p>
            <w:pPr>
              <w:pStyle w:val="Compact"/>
              <w:jc w:val="left"/>
            </w:pPr>
            <w:r>
              <w:t xml:space="preserve">05 May 2025</w:t>
            </w:r>
          </w:p>
        </w:tc>
        <w:tc>
          <w:tcPr/>
          <w:p>
            <w:pPr>
              <w:pStyle w:val="Compact"/>
              <w:jc w:val="left"/>
            </w:pPr>
            <w:r>
              <w:t xml:space="preserve">2.5</w:t>
            </w:r>
          </w:p>
        </w:tc>
        <w:tc>
          <w:tcPr/>
          <w:p>
            <w:pPr>
              <w:pStyle w:val="Compact"/>
              <w:jc w:val="left"/>
            </w:pPr>
            <w:r>
              <w:t xml:space="preserve">$420.00</w:t>
            </w:r>
          </w:p>
        </w:tc>
        <w:tc>
          <w:tcPr/>
          <w:p>
            <w:pPr>
              <w:pStyle w:val="Compact"/>
              <w:jc w:val="left"/>
            </w:pPr>
            <w:r>
              <w:t xml:space="preserve">$1,050.00</w:t>
            </w:r>
          </w:p>
        </w:tc>
      </w:tr>
      <w:tr>
        <w:tc>
          <w:tcPr/>
          <w:p>
            <w:pPr>
              <w:pStyle w:val="Compact"/>
              <w:jc w:val="left"/>
            </w:pPr>
            <w:r>
              <w:t xml:space="preserve">02</w:t>
            </w:r>
          </w:p>
        </w:tc>
        <w:tc>
          <w:tcPr/>
          <w:p>
            <w:pPr>
              <w:pStyle w:val="Compact"/>
              <w:jc w:val="left"/>
            </w:pPr>
            <w:r>
              <w:t xml:space="preserve">Preparation and filing of Statement of Claim with the Victorian Supreme Court, Melbourne. The Lawyer drafted comprehensive pleadings outlining the Client's claims for breach of lease covenants and consequential damages.</w:t>
            </w:r>
          </w:p>
        </w:tc>
        <w:tc>
          <w:tcPr/>
          <w:p>
            <w:pPr>
              <w:pStyle w:val="Compact"/>
              <w:jc w:val="left"/>
            </w:pPr>
            <w:r>
              <w:t xml:space="preserve">12 May 2025</w:t>
            </w:r>
          </w:p>
        </w:tc>
        <w:tc>
          <w:tcPr/>
          <w:p>
            <w:pPr>
              <w:pStyle w:val="Compact"/>
              <w:jc w:val="left"/>
            </w:pPr>
            <w:r>
              <w:t xml:space="preserve">6.0</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03</w:t>
            </w:r>
          </w:p>
        </w:tc>
        <w:tc>
          <w:tcPr/>
          <w:p>
            <w:pPr>
              <w:pStyle w:val="Compact"/>
              <w:jc w:val="left"/>
            </w:pPr>
            <w:r>
              <w:t xml:space="preserve">Correspondence with opposing party's legal representatives. The Lawyer drafted and sent a detailed letter of demand outlining the Client's position, proposed settlement terms, and a 14-day response period in accordance with Victorian civil procedure rules.</w:t>
            </w:r>
          </w:p>
        </w:tc>
        <w:tc>
          <w:tcPr/>
          <w:p>
            <w:pPr>
              <w:pStyle w:val="Compact"/>
              <w:jc w:val="left"/>
            </w:pPr>
            <w:r>
              <w:t xml:space="preserve">19 May 2025</w:t>
            </w:r>
          </w:p>
        </w:tc>
        <w:tc>
          <w:tcPr/>
          <w:p>
            <w:pPr>
              <w:pStyle w:val="Compact"/>
              <w:jc w:val="left"/>
            </w:pPr>
            <w:r>
              <w:t xml:space="preserve">1.5</w:t>
            </w:r>
          </w:p>
        </w:tc>
        <w:tc>
          <w:tcPr/>
          <w:p>
            <w:pPr>
              <w:pStyle w:val="Compact"/>
              <w:jc w:val="left"/>
            </w:pPr>
            <w:r>
              <w:t xml:space="preserve">$420.00</w:t>
            </w:r>
          </w:p>
        </w:tc>
        <w:tc>
          <w:tcPr/>
          <w:p>
            <w:pPr>
              <w:pStyle w:val="Compact"/>
              <w:jc w:val="left"/>
            </w:pPr>
            <w:r>
              <w:t xml:space="preserve">$630.00</w:t>
            </w:r>
          </w:p>
        </w:tc>
      </w:tr>
      <w:tr>
        <w:tc>
          <w:tcPr/>
          <w:p>
            <w:pPr>
              <w:pStyle w:val="Compact"/>
              <w:jc w:val="left"/>
            </w:pPr>
            <w:r>
              <w:t xml:space="preserve">04</w:t>
            </w:r>
          </w:p>
        </w:tc>
        <w:tc>
          <w:tcPr/>
          <w:p>
            <w:pPr>
              <w:pStyle w:val="Compact"/>
              <w:jc w:val="left"/>
            </w:pPr>
            <w:r>
              <w:t xml:space="preserve">Attendance at pre-trial conference before Justice O'Brien, Supreme Court of Victoria, Melbourne. The Lawyer represented the Client, presented the case timeline, and negotiated procedural matters including expert witness disclosure schedules.</w:t>
            </w:r>
          </w:p>
        </w:tc>
        <w:tc>
          <w:tcPr/>
          <w:p>
            <w:pPr>
              <w:pStyle w:val="Compact"/>
              <w:jc w:val="left"/>
            </w:pPr>
            <w:r>
              <w:t xml:space="preserve">28 May 2025</w:t>
            </w:r>
          </w:p>
        </w:tc>
        <w:tc>
          <w:tcPr/>
          <w:p>
            <w:pPr>
              <w:pStyle w:val="Compact"/>
              <w:jc w:val="left"/>
            </w:pPr>
            <w:r>
              <w:t xml:space="preserve">3.0</w:t>
            </w:r>
          </w:p>
        </w:tc>
        <w:tc>
          <w:tcPr/>
          <w:p>
            <w:pPr>
              <w:pStyle w:val="Compact"/>
              <w:jc w:val="left"/>
            </w:pPr>
            <w:r>
              <w:t xml:space="preserve">$420.00</w:t>
            </w:r>
          </w:p>
        </w:tc>
        <w:tc>
          <w:tcPr/>
          <w:p>
            <w:pPr>
              <w:pStyle w:val="Compact"/>
              <w:jc w:val="left"/>
            </w:pPr>
            <w:r>
              <w:t xml:space="preserve">$1,260.00</w:t>
            </w:r>
          </w:p>
        </w:tc>
      </w:tr>
      <w:tr>
        <w:tc>
          <w:tcPr/>
          <w:p>
            <w:pPr>
              <w:pStyle w:val="Compact"/>
              <w:jc w:val="left"/>
            </w:pPr>
            <w:r>
              <w:t xml:space="preserve">05</w:t>
            </w:r>
          </w:p>
        </w:tc>
        <w:tc>
          <w:tcPr/>
          <w:p>
            <w:pPr>
              <w:pStyle w:val="Compact"/>
              <w:jc w:val="left"/>
            </w:pPr>
            <w:r>
              <w:t xml:space="preserve">Review and analysis of expert valuation report prepared by independent property assessor. The Lawyer cross-referenced the report against lease terms, market data for the Australia Melbourne commercial property sector, and applicable statutory provisions under the Property Law Act 1958 (Vic).</w:t>
            </w:r>
          </w:p>
        </w:tc>
        <w:tc>
          <w:tcPr/>
          <w:p>
            <w:pPr>
              <w:pStyle w:val="Compact"/>
              <w:jc w:val="left"/>
            </w:pPr>
            <w:r>
              <w:t xml:space="preserve">02 June 2025</w:t>
            </w:r>
          </w:p>
        </w:tc>
        <w:tc>
          <w:tcPr/>
          <w:p>
            <w:pPr>
              <w:pStyle w:val="Compact"/>
              <w:jc w:val="left"/>
            </w:pPr>
            <w:r>
              <w:t xml:space="preserve">4.0</w:t>
            </w:r>
          </w:p>
        </w:tc>
        <w:tc>
          <w:tcPr/>
          <w:p>
            <w:pPr>
              <w:pStyle w:val="Compact"/>
              <w:jc w:val="left"/>
            </w:pPr>
            <w:r>
              <w:t xml:space="preserve">$420.00</w:t>
            </w:r>
          </w:p>
        </w:tc>
        <w:tc>
          <w:tcPr/>
          <w:p>
            <w:pPr>
              <w:pStyle w:val="Compact"/>
              <w:jc w:val="left"/>
            </w:pPr>
            <w:r>
              <w:t xml:space="preserve">$1,680.00</w:t>
            </w:r>
          </w:p>
        </w:tc>
      </w:tr>
      <w:tr>
        <w:tc>
          <w:tcPr/>
          <w:p>
            <w:pPr>
              <w:pStyle w:val="Compact"/>
              <w:jc w:val="left"/>
            </w:pPr>
            <w:r>
              <w:t xml:space="preserve">06</w:t>
            </w:r>
          </w:p>
        </w:tc>
        <w:tc>
          <w:tcPr/>
          <w:p>
            <w:pPr>
              <w:pStyle w:val="Compact"/>
              <w:jc w:val="left"/>
            </w:pPr>
            <w:r>
              <w:t xml:space="preserve">Preparation of affidavit in support of the Client's claim. The Lawyer assisted the Client in finalising sworn evidence, ensuring compliance with the Evidence Act 1958 (Vic) and Supreme Court practice directions.</w:t>
            </w:r>
          </w:p>
        </w:tc>
        <w:tc>
          <w:tcPr/>
          <w:p>
            <w:pPr>
              <w:pStyle w:val="Compact"/>
              <w:jc w:val="left"/>
            </w:pPr>
            <w:r>
              <w:t xml:space="preserve">09 June 2025</w:t>
            </w:r>
          </w:p>
        </w:tc>
        <w:tc>
          <w:tcPr/>
          <w:p>
            <w:pPr>
              <w:pStyle w:val="Compact"/>
              <w:jc w:val="left"/>
            </w:pPr>
            <w:r>
              <w:t xml:space="preserve">3.5</w:t>
            </w:r>
          </w:p>
        </w:tc>
        <w:tc>
          <w:tcPr/>
          <w:p>
            <w:pPr>
              <w:pStyle w:val="Compact"/>
              <w:jc w:val="left"/>
            </w:pPr>
            <w:r>
              <w:t xml:space="preserve">$420.00</w:t>
            </w:r>
          </w:p>
        </w:tc>
        <w:tc>
          <w:tcPr/>
          <w:p>
            <w:pPr>
              <w:pStyle w:val="Compact"/>
              <w:jc w:val="left"/>
            </w:pPr>
            <w:r>
              <w:t xml:space="preserve">$1,470.00</w:t>
            </w:r>
          </w:p>
        </w:tc>
      </w:tr>
      <w:tr>
        <w:tc>
          <w:tcPr/>
          <w:p>
            <w:pPr>
              <w:pStyle w:val="Compact"/>
              <w:jc w:val="left"/>
            </w:pPr>
            <w:r>
              <w:t xml:space="preserve">07</w:t>
            </w:r>
          </w:p>
        </w:tc>
        <w:tc>
          <w:tcPr/>
          <w:p>
            <w:pPr>
              <w:pStyle w:val="Compact"/>
              <w:jc w:val="left"/>
            </w:pPr>
            <w:r>
              <w:t xml:space="preserve">Telephone conference with Client (30 minutes) to discuss court's directions from pre-trial conference and to advise on next steps in the litigation timeline.</w:t>
            </w:r>
          </w:p>
        </w:tc>
        <w:tc>
          <w:tcPr/>
          <w:p>
            <w:pPr>
              <w:pStyle w:val="Compact"/>
              <w:jc w:val="left"/>
            </w:pPr>
            <w:r>
              <w:t xml:space="preserve">11 June 2025</w:t>
            </w:r>
          </w:p>
        </w:tc>
        <w:tc>
          <w:tcPr/>
          <w:p>
            <w:pPr>
              <w:pStyle w:val="Compact"/>
              <w:jc w:val="left"/>
            </w:pPr>
            <w:r>
              <w:t xml:space="preserve">0.5</w:t>
            </w:r>
          </w:p>
        </w:tc>
        <w:tc>
          <w:tcPr/>
          <w:p>
            <w:pPr>
              <w:pStyle w:val="Compact"/>
              <w:jc w:val="left"/>
            </w:pPr>
            <w:r>
              <w:t xml:space="preserve">$420.00</w:t>
            </w:r>
          </w:p>
        </w:tc>
        <w:tc>
          <w:tcPr/>
          <w:p>
            <w:pPr>
              <w:pStyle w:val="Compact"/>
              <w:jc w:val="left"/>
            </w:pPr>
            <w:r>
              <w:t xml:space="preserve">$210.00</w:t>
            </w:r>
          </w:p>
        </w:tc>
      </w:tr>
      <w:tr>
        <w:tc>
          <w:tcPr/>
          <w:p>
            <w:pPr>
              <w:pStyle w:val="Compact"/>
              <w:jc w:val="left"/>
            </w:pPr>
            <w:r>
              <w:t xml:space="preserve">08</w:t>
            </w:r>
          </w:p>
        </w:tc>
        <w:tc>
          <w:tcPr/>
          <w:p>
            <w:pPr>
              <w:pStyle w:val="Compact"/>
              <w:jc w:val="left"/>
            </w:pPr>
            <w:r>
              <w:t xml:space="preserve">Disbursements: Filing fees for Statement of Claim (Supreme Court, Melbourne), service of process via court process server, and photocopying of court documents (450 pages).</w:t>
            </w:r>
          </w:p>
        </w:tc>
        <w:tc>
          <w:tcPr/>
          <w:p>
            <w:pPr>
              <w:pStyle w:val="Compact"/>
              <w:jc w:val="left"/>
            </w:pPr>
            <w:r>
              <w:t xml:space="preserve">13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$1,847.50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left"/>
            </w:pPr>
            <w:r>
              <w:t xml:space="preserve">$8,820.00</w:t>
            </w:r>
          </w:p>
        </w:tc>
      </w:tr>
      <w:tr>
        <w:tc>
          <w:tcPr/>
          <w:p>
            <w:pPr>
              <w:pStyle w:val="Compact"/>
              <w:jc w:val="left"/>
            </w:pPr>
            <w:r>
              <w:t xml:space="preserve">Disbursements &amp; Out-of-Pocket Expenses</w:t>
            </w:r>
          </w:p>
        </w:tc>
        <w:tc>
          <w:tcPr/>
          <w:p>
            <w:pPr>
              <w:pStyle w:val="Compact"/>
              <w:jc w:val="left"/>
            </w:pPr>
            <w:r>
              <w:t xml:space="preserve">$1,847.50</w:t>
            </w:r>
          </w:p>
        </w:tc>
      </w:tr>
      <w:tr>
        <w:tc>
          <w:tcPr/>
          <w:p>
            <w:pPr>
              <w:pStyle w:val="Compact"/>
              <w:jc w:val="left"/>
            </w:pPr>
            <w:r>
              <w:t xml:space="preserve">GST (10%)</w:t>
            </w:r>
          </w:p>
        </w:tc>
        <w:tc>
          <w:tcPr/>
          <w:p>
            <w:pPr>
              <w:pStyle w:val="Compact"/>
              <w:jc w:val="left"/>
            </w:pPr>
            <w:r>
              <w:t xml:space="preserve">$1,066.75</w:t>
            </w:r>
          </w:p>
        </w:tc>
      </w:tr>
      <w:tr>
        <w:tc>
          <w:tcPr/>
          <w:p>
            <w:pPr>
              <w:pStyle w:val="Compact"/>
              <w:jc w:val="left"/>
            </w:pPr>
            <w:r>
              <w:t xml:space="preserve">TOTAL AMOUNT DUE</w:t>
            </w:r>
          </w:p>
        </w:tc>
        <w:tc>
          <w:tcPr/>
          <w:p>
            <w:pPr>
              <w:pStyle w:val="Compact"/>
              <w:jc w:val="left"/>
            </w:pPr>
            <w:r>
              <w:t xml:space="preserve">$11,734.25</w:t>
            </w:r>
          </w:p>
        </w:tc>
      </w:tr>
    </w:tbl>
    <w:p>
      <w:pPr>
        <w:pStyle w:val="BodyText"/>
      </w:pPr>
      <w:r>
        <w:t xml:space="preserve">Payment Instructions</w:t>
      </w:r>
    </w:p>
    <w:p>
      <w:pPr>
        <w:pStyle w:val="BodyText"/>
      </w:pPr>
      <w:r>
        <w:rPr>
          <w:bCs/>
          <w:b/>
        </w:rPr>
        <w:t xml:space="preserve">Bank Transfer (Preferred):</w:t>
      </w:r>
      <w:r>
        <w:t xml:space="preserve"> </w:t>
      </w:r>
      <w:r>
        <w:t xml:space="preserve">Please remit payment of this Invoice to the following account within fourteen (14) calendar days of the date of issue. The Lawyer in Australia Melbourne requires payment to be received no later than 14 July 2025 to avoid late payment interest as stipulated in the retainer agreement.</w:t>
      </w:r>
    </w:p>
    <w:p>
      <w:pPr>
        <w:pStyle w:val="BodyText"/>
      </w:pPr>
      <w:r>
        <w:rPr>
          <w:bCs/>
          <w:b/>
        </w:rPr>
        <w:t xml:space="preserve">Account Name:</w:t>
      </w:r>
      <w:r>
        <w:t xml:space="preserve"> </w:t>
      </w:r>
      <w:r>
        <w:t xml:space="preserve">Harrington &amp; Voss Legal Practitioners</w:t>
      </w:r>
      <w:r>
        <w:br/>
      </w:r>
      <w:r>
        <w:rPr>
          <w:bCs/>
          <w:b/>
        </w:rPr>
        <w:t xml:space="preserve">BSB:</w:t>
      </w:r>
      <w:r>
        <w:t xml:space="preserve"> </w:t>
      </w:r>
      <w:r>
        <w:t xml:space="preserve">062-000   </w:t>
      </w:r>
      <w:r>
        <w:t xml:space="preserve"> </w:t>
      </w:r>
      <w:r>
        <w:rPr>
          <w:bCs/>
          <w:b/>
        </w:rPr>
        <w:t xml:space="preserve">Account Number:</w:t>
      </w:r>
      <w:r>
        <w:t xml:space="preserve"> </w:t>
      </w:r>
      <w:r>
        <w:t xml:space="preserve">1234 5678</w:t>
      </w:r>
      <w:r>
        <w:br/>
      </w:r>
      <w:r>
        <w:rPr>
          <w:bCs/>
          <w:b/>
        </w:rPr>
        <w:t xml:space="preserve">Reference:</w:t>
      </w:r>
      <w:r>
        <w:t xml:space="preserve"> </w:t>
      </w:r>
      <w:r>
        <w:t xml:space="preserve">Invoice No. HV-2025-04872 / Whitfield Property Holdings</w:t>
      </w:r>
      <w:r>
        <w:br/>
      </w:r>
      <w:r>
        <w:rPr>
          <w:bCs/>
          <w:b/>
        </w:rPr>
        <w:t xml:space="preserve">Bank:</w:t>
      </w:r>
      <w:r>
        <w:t xml:space="preserve"> </w:t>
      </w:r>
      <w:r>
        <w:t xml:space="preserve">National Australia Bank, Melbourne CBD Branch</w:t>
      </w:r>
    </w:p>
    <w:p>
      <w:pPr>
        <w:pStyle w:val="BodyText"/>
      </w:pPr>
      <w:r>
        <w:rPr>
          <w:bCs/>
          <w:b/>
        </w:rPr>
        <w:t xml:space="preserve">Alternative Payment:</w:t>
      </w:r>
      <w:r>
        <w:t xml:space="preserve"> </w:t>
      </w:r>
      <w:r>
        <w:t xml:space="preserve">Cheques payable to "Harrington &amp; Voss Legal Practitioners" may be posted to the office address listed above. Please note that this Invoice will be considered paid only upon clearance of funds in the firm's trust account.</w:t>
      </w:r>
    </w:p>
    <w:p>
      <w:pPr>
        <w:pStyle w:val="BodyText"/>
      </w:pPr>
      <w:r>
        <w:t xml:space="preserve">Terms and Conditions of This Invoice</w:t>
      </w:r>
    </w:p>
    <w:p>
      <w:pPr>
        <w:pStyle w:val="BodyText"/>
      </w:pPr>
      <w:r>
        <w:t xml:space="preserve">1. This Invoice constitutes a formal demand for payment for legal services rendered by the Lawyer in Australia Melbourne. All amounts are stated in Australian Dollars (AUD) and are inclusive of applicable Goods and Services Tax (GST) as registered under the Australian Taxation Office.</w:t>
      </w:r>
    </w:p>
    <w:p>
      <w:pPr>
        <w:pStyle w:val="BodyText"/>
      </w:pPr>
      <w:r>
        <w:t xml:space="preserve">2. In the event of non-payment by the due date stated above, the Lawyer reserves the right to charge interest at the rate of 10% per annum on the outstanding balance, calculated daily from the due date until full payment is received, in accordance with Section 100 of the Legal Profession Uniform Law (Victoria).</w:t>
      </w:r>
    </w:p>
    <w:p>
      <w:pPr>
        <w:pStyle w:val="BodyText"/>
      </w:pPr>
      <w:r>
        <w:t xml:space="preserve">3. The Client acknowledges that this Invoice has been prepared in good faith by the Lawyer and reflects all billable hours and expenses incurred during the specified billing period. The Client has the right to request a detailed itemised breakdown of any line item by contacting the billing department within seven (7) days of receipt of this Invoice.</w:t>
      </w:r>
    </w:p>
    <w:p>
      <w:pPr>
        <w:pStyle w:val="BodyText"/>
      </w:pPr>
      <w:r>
        <w:t xml:space="preserve">4. This Invoice does not constitute a final account. The Lawyer in Australia Melbourne may issue further invoices for services rendered after the date of this document. The final account will be issued upon conclusion of the matter or termination of the retainer agreement, whichever occurs first.</w:t>
      </w:r>
    </w:p>
    <w:p>
      <w:pPr>
        <w:pStyle w:val="BodyText"/>
      </w:pPr>
      <w:r>
        <w:t xml:space="preserve">5. All disputes regarding the fees set out in this Invoice shall be resolved in accordance with the dispute resolution provisions of the retainer agreement and, if necessary, referred to the Victorian Legal Services Commissioner for determination.</w:t>
      </w:r>
    </w:p>
    <w:p>
      <w:pPr>
        <w:pStyle w:val="BodyText"/>
      </w:pPr>
      <w:r>
        <w:t xml:space="preserve">6. The Client is reminded that the Lawyer is bound by professional confidentiality obligations under the Legal Profession Uniform Law (Victoria) and the Rules of Professional Conduct. This Invoice and all associated communications are subject to legal professional privilege.</w:t>
      </w:r>
    </w:p>
    <w:p>
      <w:pPr>
        <w:pStyle w:val="BodyText"/>
      </w:pPr>
      <w:r>
        <w:t xml:space="preserve">Authorisation</w:t>
      </w:r>
    </w:p>
    <w:p>
      <w:pPr>
        <w:pStyle w:val="BodyText"/>
      </w:pPr>
      <w:r>
        <w:t xml:space="preserve">This Invoice has been authorised and issued by:</w:t>
      </w:r>
    </w:p>
    <w:p>
      <w:pPr>
        <w:pStyle w:val="BodyText"/>
      </w:pPr>
      <w:r>
        <w:rPr>
          <w:bCs/>
          <w:b/>
        </w:rPr>
        <w:t xml:space="preserve">Ms. Catherine Harrington</w:t>
      </w:r>
      <w:r>
        <w:br/>
      </w:r>
      <w:r>
        <w:t xml:space="preserve">Principal Lawyer / Managing Partner</w:t>
      </w:r>
      <w:r>
        <w:br/>
      </w:r>
      <w:r>
        <w:t xml:space="preserve">Harrington &amp; Voss Legal Practitioners</w:t>
      </w:r>
      <w:r>
        <w:br/>
      </w:r>
      <w:r>
        <w:t xml:space="preserve">Melbourne, Australia Melbourne</w:t>
      </w:r>
      <w:r>
        <w:br/>
      </w:r>
      <w:r>
        <w:t xml:space="preserve">Date: 14 June 2025</w:t>
      </w:r>
    </w:p>
    <w:p>
      <w:pPr>
        <w:pStyle w:val="BodyText"/>
      </w:pPr>
      <w:r>
        <w:t xml:space="preserve">Harrington &amp; Voss Legal Practitioners — Level 12, 88 Collins Street, Melbourne, Victoria 3000, Australia Melbourne</w:t>
      </w:r>
      <w:r>
        <w:br/>
      </w:r>
      <w:r>
        <w:t xml:space="preserve">ABN: 45 123 456 789 | Law Society of Victoria | Supreme Court of Victoria Admitted Practitioner</w:t>
      </w:r>
      <w:r>
        <w:br/>
      </w:r>
      <w:r>
        <w:t xml:space="preserve">This Invoice is a legal document. Please retain for your records. For queries regarding this Invoice, contact our billing team at billing@harringtonvoss.com.au or +61 3 9421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Australia Melbourne</dc:title>
  <dc:creator/>
  <dc:language>en</dc:language>
  <cp:keywords/>
  <dcterms:created xsi:type="dcterms:W3CDTF">2026-10-10T07:21:07Z</dcterms:created>
  <dcterms:modified xsi:type="dcterms:W3CDTF">2026-10-10T07:21:07Z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