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Sydney</w:t>
      </w:r>
      <w:r>
        <w:t xml:space="preserve"> </w:t>
      </w:r>
      <w:r>
        <w:t xml:space="preserve">Law</w:t>
      </w:r>
      <w:r>
        <w:t xml:space="preserve"> </w:t>
      </w:r>
      <w:r>
        <w:t xml:space="preserve">Firm</w:t>
      </w:r>
    </w:p>
    <w:bookmarkStart w:id="20" w:name="invoice"/>
    <w:p>
      <w:pPr>
        <w:pStyle w:val="Heading1"/>
      </w:pPr>
      <w:r>
        <w:t xml:space="preserve">INVOICE</w:t>
      </w:r>
    </w:p>
    <w:p>
      <w:pPr>
        <w:pStyle w:val="FirstParagraph"/>
      </w:pPr>
      <w:r>
        <w:t xml:space="preserve">Legal Services — Professional Legal Fee Statement</w:t>
      </w:r>
    </w:p>
    <w:bookmarkEnd w:id="20"/>
    <w:bookmarkStart w:id="21" w:name="law-firm-details"/>
    <w:p>
      <w:pPr>
        <w:pStyle w:val="Heading3"/>
      </w:pPr>
      <w:r>
        <w:t xml:space="preserve">Law Firm Details</w:t>
      </w:r>
    </w:p>
    <w:p>
      <w:pPr>
        <w:pStyle w:val="FirstParagraph"/>
      </w:pPr>
      <w:r>
        <w:rPr>
          <w:bCs/>
          <w:b/>
        </w:rPr>
        <w:t xml:space="preserve">Harrington &amp; Cole Legal Pty Ltd</w:t>
      </w:r>
    </w:p>
    <w:p>
      <w:pPr>
        <w:pStyle w:val="BodyText"/>
      </w:pPr>
      <w:r>
        <w:t xml:space="preserve">Level 12, 200 George Street</w:t>
      </w:r>
    </w:p>
    <w:p>
      <w:pPr>
        <w:pStyle w:val="BodyText"/>
      </w:pPr>
      <w:r>
        <w:t xml:space="preserve">Sydney, New South Wales 2000</w:t>
      </w:r>
    </w:p>
    <w:p>
      <w:pPr>
        <w:pStyle w:val="BodyText"/>
      </w:pPr>
      <w:r>
        <w:t xml:space="preserve">Australia</w:t>
      </w:r>
    </w:p>
    <w:p>
      <w:pPr>
        <w:pStyle w:val="BodyText"/>
      </w:pPr>
      <w:r>
        <w:t xml:space="preserve">ABN: 48 123 456 789</w:t>
      </w:r>
    </w:p>
    <w:p>
      <w:pPr>
        <w:pStyle w:val="BodyText"/>
      </w:pPr>
      <w:r>
        <w:t xml:space="preserve">Phone: +61 2 9200 4500</w:t>
      </w:r>
    </w:p>
    <w:p>
      <w:pPr>
        <w:pStyle w:val="BodyText"/>
      </w:pPr>
      <w:r>
        <w:t xml:space="preserve">Email: billing@harringtoncolelegal.com.au</w:t>
      </w:r>
    </w:p>
    <w:bookmarkEnd w:id="21"/>
    <w:bookmarkStart w:id="22" w:name="client-details"/>
    <w:p>
      <w:pPr>
        <w:pStyle w:val="Heading3"/>
      </w:pPr>
      <w:r>
        <w:t xml:space="preserve">Client Details</w:t>
      </w:r>
    </w:p>
    <w:p>
      <w:pPr>
        <w:pStyle w:val="FirstParagraph"/>
      </w:pPr>
      <w:r>
        <w:rPr>
          <w:bCs/>
          <w:b/>
        </w:rPr>
        <w:t xml:space="preserve">Mr. James A. Whitfield</w:t>
      </w:r>
    </w:p>
    <w:p>
      <w:pPr>
        <w:pStyle w:val="BodyText"/>
      </w:pPr>
      <w:r>
        <w:t xml:space="preserve">47 Parramatta Road</w:t>
      </w:r>
    </w:p>
    <w:p>
      <w:pPr>
        <w:pStyle w:val="BodyText"/>
      </w:pPr>
      <w:r>
        <w:t xml:space="preserve">St. Leonards, New South Wales 2065</w:t>
      </w:r>
    </w:p>
    <w:p>
      <w:pPr>
        <w:pStyle w:val="BodyText"/>
      </w:pPr>
      <w:r>
        <w:t xml:space="preserve">Australia Sydney</w:t>
      </w:r>
    </w:p>
    <w:p>
      <w:pPr>
        <w:pStyle w:val="BodyText"/>
      </w:pPr>
      <w:r>
        <w:t xml:space="preserve">Phone: +61 412 345 678</w:t>
      </w:r>
    </w:p>
    <w:p>
      <w:pPr>
        <w:pStyle w:val="BodyText"/>
      </w:pPr>
      <w:r>
        <w:t xml:space="preserve">Email: j.whitfield@email.com.au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HC-2025-00487</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Matter Reference:</w:t>
            </w:r>
          </w:p>
        </w:tc>
        <w:tc>
          <w:tcPr/>
          <w:p>
            <w:pPr>
              <w:pStyle w:val="Compact"/>
              <w:jc w:val="left"/>
            </w:pPr>
            <w:r>
              <w:t xml:space="preserve">WHITFIELD-2025-0031</w:t>
            </w:r>
          </w:p>
        </w:tc>
        <w:tc>
          <w:tcPr/>
          <w:p>
            <w:pPr>
              <w:pStyle w:val="Compact"/>
              <w:jc w:val="left"/>
            </w:pPr>
            <w:r>
              <w:t xml:space="preserve">Due Date:</w:t>
            </w:r>
          </w:p>
        </w:tc>
        <w:tc>
          <w:tcPr/>
          <w:p>
            <w:pPr>
              <w:pStyle w:val="Compact"/>
              <w:jc w:val="left"/>
            </w:pPr>
            <w:r>
              <w:t xml:space="preserve">14 July 2025</w:t>
            </w:r>
          </w:p>
        </w:tc>
      </w:tr>
      <w:tr>
        <w:tc>
          <w:tcPr/>
          <w:p>
            <w:pPr>
              <w:pStyle w:val="Compact"/>
              <w:jc w:val="left"/>
            </w:pPr>
            <w:r>
              <w:t xml:space="preserve">Lead Lawyer:</w:t>
            </w:r>
          </w:p>
        </w:tc>
        <w:tc>
          <w:tcPr/>
          <w:p>
            <w:pPr>
              <w:pStyle w:val="Compact"/>
              <w:jc w:val="left"/>
            </w:pPr>
            <w:r>
              <w:t xml:space="preserve">Ms. Eleanor Harrington, Principal Solicitor</w:t>
            </w:r>
          </w:p>
        </w:tc>
        <w:tc>
          <w:tcPr/>
          <w:p>
            <w:pPr>
              <w:pStyle w:val="Compact"/>
              <w:jc w:val="left"/>
            </w:pPr>
            <w:r>
              <w:t xml:space="preserve">Practice Area:</w:t>
            </w:r>
          </w:p>
        </w:tc>
        <w:tc>
          <w:tcPr/>
          <w:p>
            <w:pPr>
              <w:pStyle w:val="Compact"/>
              <w:jc w:val="left"/>
            </w:pPr>
            <w:r>
              <w:t xml:space="preserve">Commercial Litigation &amp; Contract Law</w:t>
            </w:r>
          </w:p>
        </w:tc>
      </w:tr>
      <w:tr>
        <w:tc>
          <w:tcPr/>
          <w:p>
            <w:pPr>
              <w:pStyle w:val="Compact"/>
              <w:jc w:val="left"/>
            </w:pPr>
            <w:r>
              <w:t xml:space="preserve">Client Account No.:</w:t>
            </w:r>
          </w:p>
        </w:tc>
        <w:tc>
          <w:tcPr/>
          <w:p>
            <w:pPr>
              <w:pStyle w:val="Compact"/>
              <w:jc w:val="left"/>
            </w:pPr>
            <w:r>
              <w:t xml:space="preserve">AC-2025-1187</w:t>
            </w:r>
          </w:p>
        </w:tc>
        <w:tc>
          <w:tcPr/>
          <w:p>
            <w:pPr>
              <w:pStyle w:val="Compact"/>
              <w:jc w:val="left"/>
            </w:pPr>
            <w:r>
              <w:t xml:space="preserve">Payment Method:</w:t>
            </w:r>
          </w:p>
        </w:tc>
        <w:tc>
          <w:tcPr/>
          <w:p>
            <w:pPr>
              <w:pStyle w:val="Compact"/>
              <w:jc w:val="left"/>
            </w:pPr>
            <w:r>
              <w:t xml:space="preserve">Bank Transfer (BSB: 000-000, Acc: 12345678)</w:t>
            </w:r>
          </w:p>
        </w:tc>
      </w:tr>
    </w:tbl>
    <w:bookmarkStart w:id="23" w:name="description-of-legal-services-rendered"/>
    <w:p>
      <w:pPr>
        <w:pStyle w:val="Heading2"/>
      </w:pPr>
      <w:r>
        <w:t xml:space="preserve">Description of Legal Services Rendered</w:t>
      </w:r>
    </w:p>
    <w:p>
      <w:pPr>
        <w:pStyle w:val="FirstParagraph"/>
      </w:pPr>
      <w:r>
        <w:t xml:space="preserve">This Invoice is issued by Harrington &amp; Cole Legal Pty Ltd, a registered law firm operating in Australia Sydney, in respect of professional legal services provided to the above-named client. The Lawyer, Ms. Eleanor Harrington, and her associated legal team have undertaken the following matters on behalf of the client during the billing period of 1 May 2025 to 14 June 2025. All fees are calculated in accordance with the Legal Profession Uniform Law (NSW) and the firm's standard fee agreement executed on 3 April 2025.</w:t>
      </w:r>
    </w:p>
    <w:bookmarkEnd w:id="23"/>
    <w:bookmarkStart w:id="25" w:name="itemised-fees-and-charges"/>
    <w:p>
      <w:pPr>
        <w:pStyle w:val="Heading2"/>
      </w:pPr>
      <w:r>
        <w:t xml:space="preserve">Itemised Fees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Lawyer / Staff</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05 May 2025</w:t>
            </w:r>
          </w:p>
        </w:tc>
        <w:tc>
          <w:tcPr/>
          <w:p>
            <w:pPr>
              <w:pStyle w:val="Compact"/>
              <w:jc w:val="left"/>
            </w:pPr>
            <w:r>
              <w:t xml:space="preserve">Initial consultation and case assessment regarding commercial contract dispute with Meridian Holdings Pty Ltd. Review of all relevant documentation, correspondence, and contractual obligations.</w:t>
            </w:r>
          </w:p>
        </w:tc>
        <w:tc>
          <w:tcPr/>
          <w:p>
            <w:pPr>
              <w:pStyle w:val="Compact"/>
              <w:jc w:val="left"/>
            </w:pPr>
            <w:r>
              <w:t xml:space="preserve">E. Harrington (Principal Lawyer)</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w:t>
            </w:r>
          </w:p>
        </w:tc>
      </w:tr>
      <w:tr>
        <w:tc>
          <w:tcPr/>
          <w:p>
            <w:pPr>
              <w:pStyle w:val="Compact"/>
              <w:jc w:val="left"/>
            </w:pPr>
            <w:r>
              <w:t xml:space="preserve">08 May 2025</w:t>
            </w:r>
          </w:p>
        </w:tc>
        <w:tc>
          <w:tcPr/>
          <w:p>
            <w:pPr>
              <w:pStyle w:val="Compact"/>
              <w:jc w:val="left"/>
            </w:pPr>
            <w:r>
              <w:t xml:space="preserve">Preparation and filing of Statement of Claim in the Supreme Court of New South Wales, Sydney. Drafting of supporting affidavits and annexures. Filing fees and court lodgement.</w:t>
            </w:r>
          </w:p>
        </w:tc>
        <w:tc>
          <w:tcPr/>
          <w:p>
            <w:pPr>
              <w:pStyle w:val="Compact"/>
              <w:jc w:val="left"/>
            </w:pPr>
            <w:r>
              <w:t xml:space="preserve">E. Harrington (Principal Lawyer)</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12 May 2025</w:t>
            </w:r>
          </w:p>
        </w:tc>
        <w:tc>
          <w:tcPr/>
          <w:p>
            <w:pPr>
              <w:pStyle w:val="Compact"/>
              <w:jc w:val="left"/>
            </w:pPr>
            <w:r>
              <w:t xml:space="preserve">Discovery and document review. Examination of 1,200 pages of opposing party's production. Preparation of discovery index and privilege log. Coordination with forensic accounting firm.</w:t>
            </w:r>
          </w:p>
        </w:tc>
        <w:tc>
          <w:tcPr/>
          <w:p>
            <w:pPr>
              <w:pStyle w:val="Compact"/>
              <w:jc w:val="left"/>
            </w:pPr>
            <w:r>
              <w:t xml:space="preserve">D. Okafor (Senior Associate)</w:t>
            </w:r>
          </w:p>
        </w:tc>
        <w:tc>
          <w:tcPr/>
          <w:p>
            <w:pPr>
              <w:pStyle w:val="Compact"/>
              <w:jc w:val="left"/>
            </w:pPr>
            <w:r>
              <w:t xml:space="preserve">14.0</w:t>
            </w:r>
          </w:p>
        </w:tc>
        <w:tc>
          <w:tcPr/>
          <w:p>
            <w:pPr>
              <w:pStyle w:val="Compact"/>
              <w:jc w:val="left"/>
            </w:pPr>
            <w:r>
              <w:t xml:space="preserve">280.00</w:t>
            </w:r>
          </w:p>
        </w:tc>
        <w:tc>
          <w:tcPr/>
          <w:p>
            <w:pPr>
              <w:pStyle w:val="Compact"/>
              <w:jc w:val="left"/>
            </w:pPr>
            <w:r>
              <w:t xml:space="preserve">3,920.00</w:t>
            </w:r>
          </w:p>
        </w:tc>
      </w:tr>
      <w:tr>
        <w:tc>
          <w:tcPr/>
          <w:p>
            <w:pPr>
              <w:pStyle w:val="Compact"/>
              <w:jc w:val="left"/>
            </w:pPr>
            <w:r>
              <w:t xml:space="preserve">19 May 2025</w:t>
            </w:r>
          </w:p>
        </w:tc>
        <w:tc>
          <w:tcPr/>
          <w:p>
            <w:pPr>
              <w:pStyle w:val="Compact"/>
              <w:jc w:val="left"/>
            </w:pPr>
            <w:r>
              <w:t xml:space="preserve">Preparation of Defence response strategy. Drafting of Notice of Defence and Counterclaim. Legal research on applicable commercial law principles under the Australian Consumer Law and common law contract doctrine.</w:t>
            </w:r>
          </w:p>
        </w:tc>
        <w:tc>
          <w:tcPr/>
          <w:p>
            <w:pPr>
              <w:pStyle w:val="Compact"/>
              <w:jc w:val="left"/>
            </w:pPr>
            <w:r>
              <w:t xml:space="preserve">E. Harrington (Principal Lawyer)</w:t>
            </w:r>
          </w:p>
        </w:tc>
        <w:tc>
          <w:tcPr/>
          <w:p>
            <w:pPr>
              <w:pStyle w:val="Compact"/>
              <w:jc w:val="left"/>
            </w:pPr>
            <w:r>
              <w:t xml:space="preserve">4.5</w:t>
            </w:r>
          </w:p>
        </w:tc>
        <w:tc>
          <w:tcPr/>
          <w:p>
            <w:pPr>
              <w:pStyle w:val="Compact"/>
              <w:jc w:val="left"/>
            </w:pPr>
            <w:r>
              <w:t xml:space="preserve">450.00</w:t>
            </w:r>
          </w:p>
        </w:tc>
        <w:tc>
          <w:tcPr/>
          <w:p>
            <w:pPr>
              <w:pStyle w:val="Compact"/>
              <w:jc w:val="left"/>
            </w:pPr>
            <w:r>
              <w:t xml:space="preserve">2,025.00</w:t>
            </w:r>
          </w:p>
        </w:tc>
      </w:tr>
      <w:tr>
        <w:tc>
          <w:tcPr/>
          <w:p>
            <w:pPr>
              <w:pStyle w:val="Compact"/>
              <w:jc w:val="left"/>
            </w:pPr>
            <w:r>
              <w:t xml:space="preserve">26 May 2025</w:t>
            </w:r>
          </w:p>
        </w:tc>
        <w:tc>
          <w:tcPr/>
          <w:p>
            <w:pPr>
              <w:pStyle w:val="Compact"/>
              <w:jc w:val="left"/>
            </w:pPr>
            <w:r>
              <w:t xml:space="preserve">Attendance at case conference before Justice Thompson, Supreme Court of NSW, Sydney. Preparation of case conference checklist, settlement position paper, and oral submissions on behalf of the client.</w:t>
            </w:r>
          </w:p>
        </w:tc>
        <w:tc>
          <w:tcPr/>
          <w:p>
            <w:pPr>
              <w:pStyle w:val="Compact"/>
              <w:jc w:val="left"/>
            </w:pPr>
            <w:r>
              <w:t xml:space="preserve">E. Harrington (Principal Lawyer)</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 Jun 2025</w:t>
            </w:r>
          </w:p>
        </w:tc>
        <w:tc>
          <w:tcPr/>
          <w:p>
            <w:pPr>
              <w:pStyle w:val="Compact"/>
              <w:jc w:val="left"/>
            </w:pPr>
            <w:r>
              <w:t xml:space="preserve">Telephone conference with client (45 minutes) to discuss case conference outcomes, settlement negotiations, and next steps in litigation strategy. Follow-up written summary provided.</w:t>
            </w:r>
          </w:p>
        </w:tc>
        <w:tc>
          <w:tcPr/>
          <w:p>
            <w:pPr>
              <w:pStyle w:val="Compact"/>
              <w:jc w:val="left"/>
            </w:pPr>
            <w:r>
              <w:t xml:space="preserve">E. Harrington (Principal Lawyer)</w:t>
            </w:r>
          </w:p>
        </w:tc>
        <w:tc>
          <w:tcPr/>
          <w:p>
            <w:pPr>
              <w:pStyle w:val="Compact"/>
              <w:jc w:val="left"/>
            </w:pPr>
            <w:r>
              <w:t xml:space="preserve">0.75</w:t>
            </w:r>
          </w:p>
        </w:tc>
        <w:tc>
          <w:tcPr/>
          <w:p>
            <w:pPr>
              <w:pStyle w:val="Compact"/>
              <w:jc w:val="left"/>
            </w:pPr>
            <w:r>
              <w:t xml:space="preserve">450.00</w:t>
            </w:r>
          </w:p>
        </w:tc>
        <w:tc>
          <w:tcPr/>
          <w:p>
            <w:pPr>
              <w:pStyle w:val="Compact"/>
              <w:jc w:val="left"/>
            </w:pPr>
            <w:r>
              <w:t xml:space="preserve">337.50</w:t>
            </w:r>
          </w:p>
        </w:tc>
      </w:tr>
      <w:tr>
        <w:tc>
          <w:tcPr/>
          <w:p>
            <w:pPr>
              <w:pStyle w:val="Compact"/>
              <w:jc w:val="left"/>
            </w:pPr>
            <w:r>
              <w:t xml:space="preserve">09 Jun 2025</w:t>
            </w:r>
          </w:p>
        </w:tc>
        <w:tc>
          <w:tcPr/>
          <w:p>
            <w:pPr>
              <w:pStyle w:val="Compact"/>
              <w:jc w:val="left"/>
            </w:pPr>
            <w:r>
              <w:t xml:space="preserve">Preparation of expert witness report instructions. Coordination with structural engineering expert. Review and annotation of expert draft report. Legal sufficiency assessment.</w:t>
            </w:r>
          </w:p>
        </w:tc>
        <w:tc>
          <w:tcPr/>
          <w:p>
            <w:pPr>
              <w:pStyle w:val="Compact"/>
              <w:jc w:val="left"/>
            </w:pPr>
            <w:r>
              <w:t xml:space="preserve">D. Okafor (Senior Associate)</w:t>
            </w:r>
          </w:p>
        </w:tc>
        <w:tc>
          <w:tcPr/>
          <w:p>
            <w:pPr>
              <w:pStyle w:val="Compact"/>
              <w:jc w:val="left"/>
            </w:pPr>
            <w:r>
              <w:t xml:space="preserve">5.5</w:t>
            </w:r>
          </w:p>
        </w:tc>
        <w:tc>
          <w:tcPr/>
          <w:p>
            <w:pPr>
              <w:pStyle w:val="Compact"/>
              <w:jc w:val="left"/>
            </w:pPr>
            <w:r>
              <w:t xml:space="preserve">280.00</w:t>
            </w:r>
          </w:p>
        </w:tc>
        <w:tc>
          <w:tcPr/>
          <w:p>
            <w:pPr>
              <w:pStyle w:val="Compact"/>
              <w:jc w:val="left"/>
            </w:pPr>
            <w:r>
              <w:t xml:space="preserve">1,540.00</w:t>
            </w:r>
          </w:p>
        </w:tc>
      </w:tr>
      <w:tr>
        <w:tc>
          <w:tcPr/>
          <w:p>
            <w:pPr>
              <w:pStyle w:val="Compact"/>
              <w:jc w:val="left"/>
            </w:pPr>
            <w:r>
              <w:t xml:space="preserve">13 Jun 2025</w:t>
            </w:r>
          </w:p>
        </w:tc>
        <w:tc>
          <w:tcPr/>
          <w:p>
            <w:pPr>
              <w:pStyle w:val="Compact"/>
              <w:jc w:val="left"/>
            </w:pPr>
            <w:r>
              <w:t xml:space="preserve">Administrative and paralegal support. Filing of court documents, management of client file, preparation of correspondence, and general matter administration for the billing period.</w:t>
            </w:r>
          </w:p>
        </w:tc>
        <w:tc>
          <w:tcPr/>
          <w:p>
            <w:pPr>
              <w:pStyle w:val="Compact"/>
              <w:jc w:val="left"/>
            </w:pPr>
            <w:r>
              <w:t xml:space="preserve">S. Nguyen (Paralegal)</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$13,957.50</w:t>
            </w:r>
          </w:p>
        </w:tc>
      </w:tr>
      <w:tr>
        <w:tc>
          <w:tcPr/>
          <w:p>
            <w:pPr>
              <w:pStyle w:val="Compact"/>
              <w:jc w:val="left"/>
            </w:pPr>
            <w:r>
              <w:t xml:space="preserve">Disbursements (Court Filing Fees)</w:t>
            </w:r>
          </w:p>
        </w:tc>
        <w:tc>
          <w:tcPr/>
          <w:p>
            <w:pPr>
              <w:pStyle w:val="Compact"/>
              <w:jc w:val="left"/>
            </w:pPr>
            <w:r>
              <w:t xml:space="preserve">$1,245.00</w:t>
            </w:r>
          </w:p>
        </w:tc>
      </w:tr>
      <w:tr>
        <w:tc>
          <w:tcPr/>
          <w:p>
            <w:pPr>
              <w:pStyle w:val="Compact"/>
              <w:jc w:val="left"/>
            </w:pPr>
            <w:r>
              <w:t xml:space="preserve">Disbursements (Expert Witness Fees)</w:t>
            </w:r>
          </w:p>
        </w:tc>
        <w:tc>
          <w:tcPr/>
          <w:p>
            <w:pPr>
              <w:pStyle w:val="Compact"/>
              <w:jc w:val="left"/>
            </w:pPr>
            <w:r>
              <w:t xml:space="preserve">$3,500.00</w:t>
            </w:r>
          </w:p>
        </w:tc>
      </w:tr>
      <w:tr>
        <w:tc>
          <w:tcPr/>
          <w:p>
            <w:pPr>
              <w:pStyle w:val="Compact"/>
              <w:jc w:val="left"/>
            </w:pPr>
            <w:r>
              <w:t xml:space="preserve">Disbursements (Document Retrieval &amp; Photocopying)</w:t>
            </w:r>
          </w:p>
        </w:tc>
        <w:tc>
          <w:tcPr/>
          <w:p>
            <w:pPr>
              <w:pStyle w:val="Compact"/>
              <w:jc w:val="left"/>
            </w:pPr>
            <w:r>
              <w:t xml:space="preserve">$187.50</w:t>
            </w:r>
          </w:p>
        </w:tc>
      </w:tr>
      <w:tr>
        <w:tc>
          <w:tcPr/>
          <w:p>
            <w:pPr>
              <w:pStyle w:val="Compact"/>
              <w:jc w:val="left"/>
            </w:pPr>
            <w:r>
              <w:t xml:space="preserve">Subtotal (Disbursements)</w:t>
            </w:r>
          </w:p>
        </w:tc>
        <w:tc>
          <w:tcPr/>
          <w:p>
            <w:pPr>
              <w:pStyle w:val="Compact"/>
              <w:jc w:val="left"/>
            </w:pPr>
            <w:r>
              <w:t xml:space="preserve">$4,932.50</w:t>
            </w:r>
          </w:p>
        </w:tc>
      </w:tr>
      <w:tr>
        <w:tc>
          <w:tcPr/>
          <w:p>
            <w:pPr>
              <w:pStyle w:val="Compact"/>
              <w:jc w:val="left"/>
            </w:pPr>
            <w:r>
              <w:t xml:space="preserve">GST (10%) on Professional Fees</w:t>
            </w:r>
          </w:p>
        </w:tc>
        <w:tc>
          <w:tcPr/>
          <w:p>
            <w:pPr>
              <w:pStyle w:val="Compact"/>
              <w:jc w:val="left"/>
            </w:pPr>
            <w:r>
              <w:t xml:space="preserve">$1,395.75</w:t>
            </w:r>
          </w:p>
        </w:tc>
      </w:tr>
      <w:tr>
        <w:tc>
          <w:tcPr/>
          <w:p>
            <w:pPr>
              <w:pStyle w:val="Compact"/>
              <w:jc w:val="left"/>
            </w:pPr>
            <w:r>
              <w:t xml:space="preserve">TOTAL AMOUNT DUE</w:t>
            </w:r>
          </w:p>
        </w:tc>
        <w:tc>
          <w:tcPr/>
          <w:p>
            <w:pPr>
              <w:pStyle w:val="Compact"/>
              <w:jc w:val="left"/>
            </w:pPr>
            <w:r>
              <w:t xml:space="preserve">$20,285.75</w:t>
            </w:r>
          </w:p>
        </w:tc>
      </w:tr>
    </w:tbl>
    <w:p>
      <w:pPr>
        <w:pStyle w:val="BodyText"/>
      </w:pPr>
      <w:r>
        <w:t xml:space="preserve">All amounts are in Australian Dollars (AUD). Goods and Services Tax (GST) at 10% is applied to professional legal fees as required by the Australian Taxation Office. Disbursements are charged at cost and are not subject to GST where the underlying expense is GST-free.</w:t>
      </w:r>
    </w:p>
    <w:bookmarkStart w:id="24" w:name="important-notes-and-payment-terms"/>
    <w:p>
      <w:pPr>
        <w:pStyle w:val="Heading4"/>
      </w:pPr>
      <w:r>
        <w:t xml:space="preserve">Important Notes and Payment Terms</w:t>
      </w:r>
    </w:p>
    <w:p>
      <w:pPr>
        <w:numPr>
          <w:ilvl w:val="0"/>
          <w:numId w:val="1001"/>
        </w:numPr>
        <w:pStyle w:val="Compact"/>
      </w:pPr>
      <w:r>
        <w:t xml:space="preserve">This Invoice must be paid in full within thirty (30) calendar days of the Invoice date, being 14 July 2025. Payment is to be made via bank transfer to the account details specified above.</w:t>
      </w:r>
    </w:p>
    <w:p>
      <w:pPr>
        <w:numPr>
          <w:ilvl w:val="0"/>
          <w:numId w:val="1001"/>
        </w:numPr>
        <w:pStyle w:val="Compact"/>
      </w:pPr>
      <w:r>
        <w:t xml:space="preserve">Failure to remit payment by the due date may result in the Lawyer suspending further work on the matter in accordance with Section 104 of the Legal Profession Uniform Law (NSW) and the terms of the retainer agreement.</w:t>
      </w:r>
    </w:p>
    <w:p>
      <w:pPr>
        <w:numPr>
          <w:ilvl w:val="0"/>
          <w:numId w:val="1001"/>
        </w:numPr>
        <w:pStyle w:val="Compact"/>
      </w:pPr>
      <w:r>
        <w:t xml:space="preserve">Interest at the rate of 10% per annum may be charged on overdue amounts in accordance with the Legal Profession Uniform Law (NSW), Section 106.</w:t>
      </w:r>
    </w:p>
    <w:p>
      <w:pPr>
        <w:numPr>
          <w:ilvl w:val="0"/>
          <w:numId w:val="1001"/>
        </w:numPr>
        <w:pStyle w:val="Compact"/>
      </w:pPr>
      <w:r>
        <w:t xml:space="preserve">This Invoice constitutes a formal account of costs as required under the Legal Profession Uniform Law (NSW). The client is entitled to request a detailed cost certificate or to refer this Invoice to the Legal Services Commissioner of New South Wales if a dispute arises.</w:t>
      </w:r>
    </w:p>
    <w:p>
      <w:pPr>
        <w:numPr>
          <w:ilvl w:val="0"/>
          <w:numId w:val="1001"/>
        </w:numPr>
        <w:pStyle w:val="Compact"/>
      </w:pPr>
      <w:r>
        <w:t xml:space="preserve">All legal services described in this Invoice were performed by qualified Lawyers and legal support staff of Harrington &amp; Cole Legal Pty Ltd, a firm registered to practise law in New South Wales, Australia Sydney, under the Legal Profession Uniform Law (NSW).</w:t>
      </w:r>
    </w:p>
    <w:p>
      <w:pPr>
        <w:numPr>
          <w:ilvl w:val="0"/>
          <w:numId w:val="1001"/>
        </w:numPr>
        <w:pStyle w:val="Compact"/>
      </w:pPr>
      <w:r>
        <w:t xml:space="preserve">The client acknowledges that this Invoice reflects all fees and disbursements incurred to date. No additional charges will be applied for services rendered prior to the Invoice date unless expressly agreed in writing by the Lawyer.</w:t>
      </w:r>
    </w:p>
    <w:p>
      <w:pPr>
        <w:numPr>
          <w:ilvl w:val="0"/>
          <w:numId w:val="1001"/>
        </w:numPr>
        <w:pStyle w:val="Compact"/>
      </w:pPr>
      <w:r>
        <w:t xml:space="preserve">For any queries regarding this Invoice, please contact the billing department of the firm at billing@harringtoncolelegal.com.au or by telephone on +61 2 9200 4500, Monday to Friday, 9:00 AM to 5:00 PM (AEST).</w:t>
      </w:r>
    </w:p>
    <w:bookmarkEnd w:id="24"/>
    <w:p>
      <w:pPr>
        <w:pStyle w:val="FirstParagraph"/>
      </w:pPr>
      <w:r>
        <w:rPr>
          <w:bCs/>
          <w:b/>
        </w:rPr>
        <w:t xml:space="preserve">Ms. Eleanor Harrington</w:t>
      </w:r>
    </w:p>
    <w:p>
      <w:pPr>
        <w:pStyle w:val="BodyText"/>
      </w:pPr>
      <w:r>
        <w:t xml:space="preserve">Principal Lawyer &amp; Managing Partner</w:t>
      </w:r>
    </w:p>
    <w:p>
      <w:pPr>
        <w:pStyle w:val="BodyText"/>
      </w:pPr>
      <w:r>
        <w:t xml:space="preserve">Harrington &amp; Cole Legal Pty Ltd</w:t>
      </w:r>
    </w:p>
    <w:p>
      <w:pPr>
        <w:pStyle w:val="BodyText"/>
      </w:pPr>
      <w:r>
        <w:t xml:space="preserve">Admitted to Practice: NSW, 2003</w:t>
      </w:r>
    </w:p>
    <w:p>
      <w:pPr>
        <w:pStyle w:val="BodyText"/>
      </w:pPr>
      <w:r>
        <w:t xml:space="preserve">Legal Practising Certificate No. 123456</w:t>
      </w:r>
    </w:p>
    <w:p>
      <w:pPr>
        <w:pStyle w:val="BodyText"/>
      </w:pPr>
      <w:r>
        <w:rPr>
          <w:bCs/>
          <w:b/>
        </w:rPr>
        <w:t xml:space="preserve">Authorised Signatory</w:t>
      </w:r>
    </w:p>
    <w:p>
      <w:pPr>
        <w:pStyle w:val="BodyText"/>
      </w:pPr>
      <w:r>
        <w:t xml:space="preserve">For and on behalf of</w:t>
      </w:r>
    </w:p>
    <w:p>
      <w:pPr>
        <w:pStyle w:val="BodyText"/>
      </w:pPr>
      <w:r>
        <w:t xml:space="preserve">Harrington &amp; Cole Legal Pty Ltd</w:t>
      </w:r>
    </w:p>
    <w:p>
      <w:pPr>
        <w:pStyle w:val="BodyText"/>
      </w:pPr>
      <w:r>
        <w:t xml:space="preserve">Date: 14 June 2025</w:t>
      </w:r>
    </w:p>
    <w:p>
      <w:pPr>
        <w:pStyle w:val="BodyText"/>
      </w:pPr>
      <w:r>
        <w:rPr>
          <w:bCs/>
          <w:b/>
        </w:rPr>
        <w:t xml:space="preserve">Harrington &amp; Cole Legal Pty Ltd</w:t>
      </w:r>
      <w:r>
        <w:t xml:space="preserve"> </w:t>
      </w:r>
      <w:r>
        <w:t xml:space="preserve">| ABN 48 123 456 789 | Level 12, 200 George Street, Sydney NSW 2000, Australia</w:t>
      </w:r>
    </w:p>
    <w:p>
      <w:pPr>
        <w:pStyle w:val="BodyText"/>
      </w:pPr>
      <w:r>
        <w:t xml:space="preserve">This Invoice is issued in accordance with the Legal Profession Uniform Law (NSW) and the Australian Consumer Law.</w:t>
      </w:r>
    </w:p>
    <w:p>
      <w:pPr>
        <w:pStyle w:val="BodyText"/>
      </w:pPr>
      <w:r>
        <w:t xml:space="preserve">Registered office in Australia Sydney. All legal services are provided by Lawyers admitted to practice in New South Wales.</w:t>
      </w:r>
    </w:p>
    <w:p>
      <w:pPr>
        <w:pStyle w:val="BodyText"/>
      </w:pPr>
      <w:r>
        <w:t xml:space="preserve">© 2025 Harrington &amp; Cole Legal Pty Ltd. All rights reserved. Invoice Reference: HC-2025-00487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Sydney Law Firm</dc:title>
  <dc:creator/>
  <dc:language>en-AU</dc:language>
  <cp:keywords/>
  <dcterms:created xsi:type="dcterms:W3CDTF">2026-10-10T05:50:41Z</dcterms:created>
  <dcterms:modified xsi:type="dcterms:W3CDTF">2026-10-10T05:50:41Z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