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Dhaka,</w:t>
      </w:r>
      <w:r>
        <w:t xml:space="preserve"> </w:t>
      </w:r>
      <w:r>
        <w:t xml:space="preserve">Bangladesh</w:t>
      </w:r>
    </w:p>
    <w:bookmarkStart w:id="20" w:name="invoice"/>
    <w:p>
      <w:pPr>
        <w:pStyle w:val="Heading1"/>
      </w:pPr>
      <w:r>
        <w:t xml:space="preserve">INVOICE</w:t>
      </w:r>
    </w:p>
    <w:p>
      <w:pPr>
        <w:pStyle w:val="FirstParagraph"/>
      </w:pPr>
      <w:r>
        <w:t xml:space="preserve">Chowdhury &amp; Associates Legal Practitioners</w:t>
      </w:r>
    </w:p>
    <w:p>
      <w:pPr>
        <w:pStyle w:val="BodyText"/>
      </w:pPr>
      <w:r>
        <w:t xml:space="preserve">4th Floor, Gulshan Avenue Tower, 12 Gulshan Avenue, Dhaka-1212, Bangladesh Dhaka</w:t>
      </w:r>
      <w:r>
        <w:br/>
      </w:r>
      <w:r>
        <w:t xml:space="preserve">Phone: +880-2-9887654 | Email: billing@chowdhurylegal.com.bd</w:t>
      </w:r>
      <w:r>
        <w:br/>
      </w:r>
      <w:r>
        <w:t xml:space="preserve">Bar Council Registration No.: BD/ADV/2003/4521</w:t>
      </w:r>
    </w:p>
    <w:p>
      <w:pPr>
        <w:pStyle w:val="BodyText"/>
      </w:pPr>
      <w:r>
        <w:t xml:space="preserve">OFFICIAL LEGAL INVOICE</w:t>
      </w:r>
    </w:p>
    <w:bookmarkEnd w:id="20"/>
    <w:p>
      <w:pPr>
        <w:pStyle w:val="BodyText"/>
      </w:pPr>
      <w:r>
        <w:rPr>
          <w:bCs/>
          <w:b/>
        </w:rPr>
        <w:t xml:space="preserve">Invoice No.:</w:t>
      </w:r>
      <w:r>
        <w:t xml:space="preserve"> </w:t>
      </w:r>
      <w:r>
        <w:t xml:space="preserve">CHA/INV/2025/00847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Parties to This Invoice</w:t>
      </w:r>
    </w:p>
    <w:bookmarkStart w:id="21" w:name="lawyer-service-provider"/>
    <w:p>
      <w:pPr>
        <w:pStyle w:val="Heading3"/>
      </w:pPr>
      <w:r>
        <w:t xml:space="preserve">Lawyer / Service Provider</w:t>
      </w:r>
    </w:p>
    <w:p>
      <w:pPr>
        <w:pStyle w:val="FirstParagraph"/>
      </w:pPr>
      <w:r>
        <w:rPr>
          <w:bCs/>
          <w:b/>
        </w:rPr>
        <w:t xml:space="preserve">Advocate Md. Rafiqul Chowdhury</w:t>
      </w:r>
    </w:p>
    <w:p>
      <w:pPr>
        <w:pStyle w:val="BodyText"/>
      </w:pPr>
      <w:r>
        <w:t xml:space="preserve">Senior Advocate, Supreme Court of Bangladesh</w:t>
      </w:r>
    </w:p>
    <w:p>
      <w:pPr>
        <w:pStyle w:val="BodyText"/>
      </w:pPr>
      <w:r>
        <w:t xml:space="preserve">Chowdhury &amp; Associates Legal Practitioners</w:t>
      </w:r>
    </w:p>
    <w:p>
      <w:pPr>
        <w:pStyle w:val="BodyText"/>
      </w:pPr>
      <w:r>
        <w:t xml:space="preserve">12 Gulshan Avenue, Dhaka-1212</w:t>
      </w:r>
    </w:p>
    <w:p>
      <w:pPr>
        <w:pStyle w:val="BodyText"/>
      </w:pPr>
      <w:r>
        <w:t xml:space="preserve">Bangladesh Dhaka</w:t>
      </w:r>
    </w:p>
    <w:p>
      <w:pPr>
        <w:pStyle w:val="BodyText"/>
      </w:pPr>
      <w:r>
        <w:t xml:space="preserve">TIN: 0045218763</w:t>
      </w:r>
    </w:p>
    <w:p>
      <w:pPr>
        <w:pStyle w:val="BodyText"/>
      </w:pPr>
      <w:r>
        <w:t xml:space="preserve">VAT Reg. No.: 001234567-0000</w:t>
      </w:r>
    </w:p>
    <w:bookmarkEnd w:id="21"/>
    <w:bookmarkStart w:id="22" w:name="client-bill-to"/>
    <w:p>
      <w:pPr>
        <w:pStyle w:val="Heading3"/>
      </w:pPr>
      <w:r>
        <w:t xml:space="preserve">Client / Bill To</w:t>
      </w:r>
    </w:p>
    <w:p>
      <w:pPr>
        <w:pStyle w:val="FirstParagraph"/>
      </w:pPr>
      <w:r>
        <w:rPr>
          <w:bCs/>
          <w:b/>
        </w:rPr>
        <w:t xml:space="preserve">Mr. Abdul Karim Sheikh</w:t>
      </w:r>
    </w:p>
    <w:p>
      <w:pPr>
        <w:pStyle w:val="BodyText"/>
      </w:pPr>
      <w:r>
        <w:t xml:space="preserve">Managing Director, Sheikh Textiles Ltd.</w:t>
      </w:r>
    </w:p>
    <w:p>
      <w:pPr>
        <w:pStyle w:val="BodyText"/>
      </w:pPr>
      <w:r>
        <w:t xml:space="preserve">Plot 7, Road 11, Banani, Dhaka-1213</w:t>
      </w:r>
    </w:p>
    <w:p>
      <w:pPr>
        <w:pStyle w:val="BodyText"/>
      </w:pPr>
      <w:r>
        <w:t xml:space="preserve">Bangladesh Dhaka</w:t>
      </w:r>
    </w:p>
    <w:p>
      <w:pPr>
        <w:pStyle w:val="BodyText"/>
      </w:pPr>
      <w:r>
        <w:t xml:space="preserve">NID: 1987-1234567890</w:t>
      </w:r>
    </w:p>
    <w:p>
      <w:pPr>
        <w:pStyle w:val="BodyText"/>
      </w:pPr>
      <w:r>
        <w:t xml:space="preserve">TIN: 0078912345</w:t>
      </w:r>
    </w:p>
    <w:bookmarkEnd w:id="22"/>
    <w:p>
      <w:pPr>
        <w:pStyle w:val="BodyText"/>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Initial legal consultation and case assessment regarding commercial property dispute with Dhaka City Corporation. The Lawyer reviewed all relevant documents, title deeds, and municipal records pertaining to the disputed parcel located in Mirpur, Dhaka.</w:t>
            </w:r>
          </w:p>
        </w:tc>
        <w:tc>
          <w:tcPr/>
          <w:p>
            <w:pPr>
              <w:pStyle w:val="Compact"/>
              <w:jc w:val="left"/>
            </w:pPr>
            <w:r>
              <w:t xml:space="preserve">02 Jun 2025</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Preparation and drafting of a formal legal notice (Section 133 CrPC) to be served upon the opposing party. The Lawyer ensured compliance with all procedural requirements under the Code of Criminal Procedure, 1898, as applicable in Bangladesh Dhaka jurisdiction.</w:t>
            </w:r>
          </w:p>
        </w:tc>
        <w:tc>
          <w:tcPr/>
          <w:p>
            <w:pPr>
              <w:pStyle w:val="Compact"/>
              <w:jc w:val="left"/>
            </w:pPr>
            <w:r>
              <w:t xml:space="preserve">05 Jun 2025</w:t>
            </w:r>
          </w:p>
        </w:tc>
        <w:tc>
          <w:tcPr/>
          <w:p>
            <w:pPr>
              <w:pStyle w:val="Compact"/>
              <w:jc w:val="left"/>
            </w:pPr>
            <w:r>
              <w:t xml:space="preserve">4.5</w:t>
            </w:r>
          </w:p>
        </w:tc>
        <w:tc>
          <w:tcPr/>
          <w:p>
            <w:pPr>
              <w:pStyle w:val="Compact"/>
              <w:jc w:val="left"/>
            </w:pPr>
            <w:r>
              <w:t xml:space="preserve">5,000</w:t>
            </w:r>
          </w:p>
        </w:tc>
        <w:tc>
          <w:tcPr/>
          <w:p>
            <w:pPr>
              <w:pStyle w:val="Compact"/>
              <w:jc w:val="left"/>
            </w:pPr>
            <w:r>
              <w:t xml:space="preserve">22,500</w:t>
            </w:r>
          </w:p>
        </w:tc>
      </w:tr>
      <w:tr>
        <w:tc>
          <w:tcPr/>
          <w:p>
            <w:pPr>
              <w:pStyle w:val="Compact"/>
              <w:jc w:val="left"/>
            </w:pPr>
            <w:r>
              <w:t xml:space="preserve">03</w:t>
            </w:r>
          </w:p>
        </w:tc>
        <w:tc>
          <w:tcPr/>
          <w:p>
            <w:pPr>
              <w:pStyle w:val="Compact"/>
              <w:jc w:val="left"/>
            </w:pPr>
            <w:r>
              <w:t xml:space="preserve">Appearance and argument before the Additional District Judge, Dhaka, in Civil Suit No. 245/2025. The Lawyer presented oral arguments, cross-examined two witnesses, and filed supplementary written submissions on behalf of the client.</w:t>
            </w:r>
          </w:p>
        </w:tc>
        <w:tc>
          <w:tcPr/>
          <w:p>
            <w:pPr>
              <w:pStyle w:val="Compact"/>
              <w:jc w:val="left"/>
            </w:pPr>
            <w:r>
              <w:t xml:space="preserve">08 Jun 2025</w:t>
            </w:r>
          </w:p>
        </w:tc>
        <w:tc>
          <w:tcPr/>
          <w:p>
            <w:pPr>
              <w:pStyle w:val="Compact"/>
              <w:jc w:val="left"/>
            </w:pPr>
            <w:r>
              <w:t xml:space="preserve">6.0</w:t>
            </w:r>
          </w:p>
        </w:tc>
        <w:tc>
          <w:tcPr/>
          <w:p>
            <w:pPr>
              <w:pStyle w:val="Compact"/>
              <w:jc w:val="left"/>
            </w:pPr>
            <w:r>
              <w:t xml:space="preserve">6,000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Research and compilation of relevant case law from the Bangladesh Law Reports and Supreme Court judgments. The Lawyer prepared a comprehensive legal memorandum citing 14 precedents supporting the client's position in the property dispute matter.</w:t>
            </w:r>
          </w:p>
        </w:tc>
        <w:tc>
          <w:tcPr/>
          <w:p>
            <w:pPr>
              <w:pStyle w:val="Compact"/>
              <w:jc w:val="left"/>
            </w:pPr>
            <w:r>
              <w:t xml:space="preserve">10 Jun 2025</w:t>
            </w:r>
          </w:p>
        </w:tc>
        <w:tc>
          <w:tcPr/>
          <w:p>
            <w:pPr>
              <w:pStyle w:val="Compact"/>
              <w:jc w:val="left"/>
            </w:pPr>
            <w:r>
              <w:t xml:space="preserve">5.0</w:t>
            </w:r>
          </w:p>
        </w:tc>
        <w:tc>
          <w:tcPr/>
          <w:p>
            <w:pPr>
              <w:pStyle w:val="Compact"/>
              <w:jc w:val="left"/>
            </w:pPr>
            <w:r>
              <w:t xml:space="preserve">5,000</w:t>
            </w:r>
          </w:p>
        </w:tc>
        <w:tc>
          <w:tcPr/>
          <w:p>
            <w:pPr>
              <w:pStyle w:val="Compact"/>
              <w:jc w:val="left"/>
            </w:pPr>
            <w:r>
              <w:t xml:space="preserve">25,000</w:t>
            </w:r>
          </w:p>
        </w:tc>
      </w:tr>
      <w:tr>
        <w:tc>
          <w:tcPr/>
          <w:p>
            <w:pPr>
              <w:pStyle w:val="Compact"/>
              <w:jc w:val="left"/>
            </w:pPr>
            <w:r>
              <w:t xml:space="preserve">05</w:t>
            </w:r>
          </w:p>
        </w:tc>
        <w:tc>
          <w:tcPr/>
          <w:p>
            <w:pPr>
              <w:pStyle w:val="Compact"/>
              <w:jc w:val="left"/>
            </w:pPr>
            <w:r>
              <w:t xml:space="preserve">Preparation of the written plaint and accompanying affidavit for filing before the District and Sessions Judge Court, Dhaka. The Lawyer ensured all statutory requirements under the Code of Civil Procedure, 1908, were meticulously satisfied.</w:t>
            </w:r>
          </w:p>
        </w:tc>
        <w:tc>
          <w:tcPr/>
          <w:p>
            <w:pPr>
              <w:pStyle w:val="Compact"/>
              <w:jc w:val="left"/>
            </w:pPr>
            <w:r>
              <w:t xml:space="preserve">12 Jun 2025</w:t>
            </w:r>
          </w:p>
        </w:tc>
        <w:tc>
          <w:tcPr/>
          <w:p>
            <w:pPr>
              <w:pStyle w:val="Compact"/>
              <w:jc w:val="left"/>
            </w:pPr>
            <w:r>
              <w:t xml:space="preserve">4.0</w:t>
            </w:r>
          </w:p>
        </w:tc>
        <w:tc>
          <w:tcPr/>
          <w:p>
            <w:pPr>
              <w:pStyle w:val="Compact"/>
              <w:jc w:val="left"/>
            </w:pPr>
            <w:r>
              <w:t xml:space="preserve">5,000</w:t>
            </w:r>
          </w:p>
        </w:tc>
        <w:tc>
          <w:tcPr/>
          <w:p>
            <w:pPr>
              <w:pStyle w:val="Compact"/>
              <w:jc w:val="left"/>
            </w:pPr>
            <w:r>
              <w:t xml:space="preserve">20,000</w:t>
            </w:r>
          </w:p>
        </w:tc>
      </w:tr>
      <w:tr>
        <w:tc>
          <w:tcPr/>
          <w:p>
            <w:pPr>
              <w:pStyle w:val="Compact"/>
              <w:jc w:val="left"/>
            </w:pPr>
            <w:r>
              <w:t xml:space="preserve">06</w:t>
            </w:r>
          </w:p>
        </w:tc>
        <w:tc>
          <w:tcPr/>
          <w:p>
            <w:pPr>
              <w:pStyle w:val="Compact"/>
              <w:jc w:val="left"/>
            </w:pPr>
            <w:r>
              <w:t xml:space="preserve">Coordination with the client's chartered accountant and property surveyor for gathering evidentiary documents. The Lawyer conducted a site visit to the disputed property in Mirpur, Dhaka, and documented the current physical condition with photographic evidence.</w:t>
            </w:r>
          </w:p>
        </w:tc>
        <w:tc>
          <w:tcPr/>
          <w:p>
            <w:pPr>
              <w:pStyle w:val="Compact"/>
              <w:jc w:val="left"/>
            </w:pPr>
            <w:r>
              <w:t xml:space="preserve">13 Jun 2025</w:t>
            </w:r>
          </w:p>
        </w:tc>
        <w:tc>
          <w:tcPr/>
          <w:p>
            <w:pPr>
              <w:pStyle w:val="Compact"/>
              <w:jc w:val="left"/>
            </w:pPr>
            <w:r>
              <w:t xml:space="preserve">3.5</w:t>
            </w:r>
          </w:p>
        </w:tc>
        <w:tc>
          <w:tcPr/>
          <w:p>
            <w:pPr>
              <w:pStyle w:val="Compact"/>
              <w:jc w:val="left"/>
            </w:pPr>
            <w:r>
              <w:t xml:space="preserve">5,000</w:t>
            </w:r>
          </w:p>
        </w:tc>
        <w:tc>
          <w:tcPr/>
          <w:p>
            <w:pPr>
              <w:pStyle w:val="Compact"/>
              <w:jc w:val="left"/>
            </w:pPr>
            <w:r>
              <w:t xml:space="preserve">17,500</w:t>
            </w:r>
          </w:p>
        </w:tc>
      </w:tr>
      <w:tr>
        <w:tc>
          <w:tcPr/>
          <w:p>
            <w:pPr>
              <w:pStyle w:val="Compact"/>
              <w:jc w:val="left"/>
            </w:pPr>
            <w:r>
              <w:t xml:space="preserve">07</w:t>
            </w:r>
          </w:p>
        </w:tc>
        <w:tc>
          <w:tcPr/>
          <w:p>
            <w:pPr>
              <w:pStyle w:val="Compact"/>
              <w:jc w:val="left"/>
            </w:pPr>
            <w:r>
              <w:t xml:space="preserve">Administrative and miscellaneous charges: photocopying of legal documents, courier services for serving notices within Bangladesh Dhaka, court filing fees, stamp paper procurement, and translation of two Bengali documents into English for the court record.</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136,000.00</w:t>
            </w:r>
          </w:p>
        </w:tc>
      </w:tr>
      <w:tr>
        <w:tc>
          <w:tcPr/>
          <w:p>
            <w:pPr>
              <w:pStyle w:val="Compact"/>
              <w:jc w:val="left"/>
            </w:pPr>
            <w:r>
              <w:t xml:space="preserve">Administrative &amp; Miscellaneous Charges</w:t>
            </w:r>
          </w:p>
        </w:tc>
        <w:tc>
          <w:tcPr/>
          <w:p>
            <w:pPr>
              <w:pStyle w:val="Compact"/>
              <w:jc w:val="right"/>
            </w:pPr>
            <w:r>
              <w:t xml:space="preserve">8,500.00</w:t>
            </w:r>
          </w:p>
        </w:tc>
      </w:tr>
      <w:tr>
        <w:tc>
          <w:tcPr/>
          <w:p>
            <w:pPr>
              <w:pStyle w:val="Compact"/>
              <w:jc w:val="left"/>
            </w:pPr>
            <w:r>
              <w:t xml:space="preserve">VAT @ 15% (as per Bangladesh VAT Act, 1991)</w:t>
            </w:r>
          </w:p>
        </w:tc>
        <w:tc>
          <w:tcPr/>
          <w:p>
            <w:pPr>
              <w:pStyle w:val="Compact"/>
              <w:jc w:val="right"/>
            </w:pPr>
            <w:r>
              <w:t xml:space="preserve">23,325.00</w:t>
            </w:r>
          </w:p>
        </w:tc>
      </w:tr>
      <w:tr>
        <w:tc>
          <w:tcPr/>
          <w:p>
            <w:pPr>
              <w:pStyle w:val="Compact"/>
              <w:jc w:val="left"/>
            </w:pPr>
            <w:r>
              <w:t xml:space="preserve">Advance Payment Received (Invoice CHA/ADV/2025/00312)</w:t>
            </w:r>
          </w:p>
        </w:tc>
        <w:tc>
          <w:tcPr/>
          <w:p>
            <w:pPr>
              <w:pStyle w:val="Compact"/>
              <w:jc w:val="right"/>
            </w:pPr>
            <w:r>
              <w:t xml:space="preserve">(50,000.00)</w:t>
            </w:r>
          </w:p>
        </w:tc>
      </w:tr>
      <w:tr>
        <w:tc>
          <w:tcPr/>
          <w:p>
            <w:pPr>
              <w:pStyle w:val="Compact"/>
              <w:jc w:val="left"/>
            </w:pPr>
            <w:r>
              <w:t xml:space="preserve">NET AMOUNT DUE (BDT)</w:t>
            </w:r>
          </w:p>
        </w:tc>
        <w:tc>
          <w:tcPr/>
          <w:p>
            <w:pPr>
              <w:pStyle w:val="Compact"/>
              <w:jc w:val="right"/>
            </w:pPr>
            <w:r>
              <w:t xml:space="preserve">117,825.00</w:t>
            </w:r>
          </w:p>
        </w:tc>
      </w:tr>
    </w:tbl>
    <w:p>
      <w:pPr>
        <w:pStyle w:val="BodyText"/>
      </w:pPr>
      <w:r>
        <w:t xml:space="preserve">Payment Instructions</w:t>
      </w:r>
    </w:p>
    <w:p>
      <w:pPr>
        <w:pStyle w:val="BodyText"/>
      </w:pPr>
      <w:r>
        <w:t xml:space="preserve">The total net amount of</w:t>
      </w:r>
      <w:r>
        <w:t xml:space="preserve"> </w:t>
      </w:r>
      <w:r>
        <w:rPr>
          <w:bCs/>
          <w:b/>
        </w:rPr>
        <w:t xml:space="preserve">BDT 117,825.00 (One Hundred Seventeen Thousand Eight Hundred Twenty-Five Taka Only)</w:t>
      </w:r>
      <w:r>
        <w:t xml:space="preserve"> </w:t>
      </w:r>
      <w:r>
        <w:t xml:space="preserve">is due on or before</w:t>
      </w:r>
      <w:r>
        <w:t xml:space="preserve"> </w:t>
      </w:r>
      <w:r>
        <w:rPr>
          <w:bCs/>
          <w:b/>
        </w:rPr>
        <w:t xml:space="preserve">30 June 2025</w:t>
      </w:r>
      <w:r>
        <w:t xml:space="preserve">. Payment may be made via the following methods:</w:t>
      </w:r>
    </w:p>
    <w:p>
      <w:pPr>
        <w:numPr>
          <w:ilvl w:val="0"/>
          <w:numId w:val="1001"/>
        </w:numPr>
        <w:pStyle w:val="Compact"/>
      </w:pPr>
      <w:r>
        <w:rPr>
          <w:bCs/>
          <w:b/>
        </w:rPr>
        <w:t xml:space="preserve">Bank Transfer:</w:t>
      </w:r>
      <w:r>
        <w:t xml:space="preserve"> </w:t>
      </w:r>
      <w:r>
        <w:t xml:space="preserve">Bank: Sonali Bank PLC, Gulshan Branch, Dhaka | Account Name: Chowdhury &amp; Associates Legal Practitioners | Account No.: 100-0045218763-001 | SWIFT: SNLBBDDH</w:t>
      </w:r>
    </w:p>
    <w:p>
      <w:pPr>
        <w:numPr>
          <w:ilvl w:val="0"/>
          <w:numId w:val="1001"/>
        </w:numPr>
        <w:pStyle w:val="Compact"/>
      </w:pPr>
      <w:r>
        <w:rPr>
          <w:bCs/>
          <w:b/>
        </w:rPr>
        <w:t xml:space="preserve">Cheque:</w:t>
      </w:r>
      <w:r>
        <w:t xml:space="preserve"> </w:t>
      </w:r>
      <w:r>
        <w:t xml:space="preserve">Payable to "Chowdhury &amp; Associates Legal Practitioners", to be deposited at Sonali Bank, Gulshan Branch, Bangladesh Dhaka.</w:t>
      </w:r>
    </w:p>
    <w:p>
      <w:pPr>
        <w:numPr>
          <w:ilvl w:val="0"/>
          <w:numId w:val="1001"/>
        </w:numPr>
        <w:pStyle w:val="Compact"/>
      </w:pPr>
      <w:r>
        <w:rPr>
          <w:bCs/>
          <w:b/>
        </w:rPr>
        <w:t xml:space="preserve">Cash:</w:t>
      </w:r>
      <w:r>
        <w:t xml:space="preserve"> </w:t>
      </w:r>
      <w:r>
        <w:t xml:space="preserve">Acceptable at the firm's office at 12 Gulshan Avenue, Dhaka-1212, Bangladesh Dhaka, between 10:00 AM and 5:00 PM (Saturday to Thursday).</w:t>
      </w:r>
    </w:p>
    <w:p>
      <w:pPr>
        <w:pStyle w:val="FirstParagraph"/>
      </w:pPr>
      <w:r>
        <w:t xml:space="preserve">Terms and Conditions of This Invoice</w:t>
      </w:r>
    </w:p>
    <w:p>
      <w:pPr>
        <w:numPr>
          <w:ilvl w:val="0"/>
          <w:numId w:val="1002"/>
        </w:numPr>
        <w:pStyle w:val="Compact"/>
      </w:pPr>
      <w:r>
        <w:t xml:space="preserve">This Invoice constitutes a formal demand for payment for legal services rendered by the undersigned Lawyer and his firm. All services described herein were performed in accordance with the engagement letter dated 28 May 2025.</w:t>
      </w:r>
    </w:p>
    <w:p>
      <w:pPr>
        <w:numPr>
          <w:ilvl w:val="0"/>
          <w:numId w:val="1002"/>
        </w:numPr>
        <w:pStyle w:val="Compact"/>
      </w:pPr>
      <w:r>
        <w:t xml:space="preserve">Payment is due within fifteen (15) calendar days from the date of this Invoice. Failure to remit payment by the due date shall attract a late payment surcharge of 1.5% per month on the outstanding balance, in accordance with the terms of the retainer agreement.</w:t>
      </w:r>
    </w:p>
    <w:p>
      <w:pPr>
        <w:numPr>
          <w:ilvl w:val="0"/>
          <w:numId w:val="1002"/>
        </w:numPr>
        <w:pStyle w:val="Compact"/>
      </w:pPr>
      <w:r>
        <w:t xml:space="preserve">The Lawyer reserves the right to suspend all ongoing legal proceedings and court appearances in Bangladesh Dhaka until the full amount specified in this Invoice is received in full.</w:t>
      </w:r>
    </w:p>
    <w:p>
      <w:pPr>
        <w:numPr>
          <w:ilvl w:val="0"/>
          <w:numId w:val="1002"/>
        </w:numPr>
        <w:pStyle w:val="Compact"/>
      </w:pPr>
      <w:r>
        <w:t xml:space="preserve">All legal advice, documents, and work product prepared by the Lawyer remain the confidential property of the client. However, this Invoice and its associated payment obligations are binding under the Contract Act, 1872, of Bangladesh.</w:t>
      </w:r>
    </w:p>
    <w:p>
      <w:pPr>
        <w:numPr>
          <w:ilvl w:val="0"/>
          <w:numId w:val="1002"/>
        </w:numPr>
        <w:pStyle w:val="Compact"/>
      </w:pPr>
      <w:r>
        <w:t xml:space="preserve">This Invoice is subject to the jurisdiction of the courts in Dhaka, Bangladesh Dhaka. Any disputes arising from the interpretation or enforcement of this Invoice shall be resolved exclusively in the courts of Dhaka.</w:t>
      </w:r>
    </w:p>
    <w:p>
      <w:pPr>
        <w:numPr>
          <w:ilvl w:val="0"/>
          <w:numId w:val="1002"/>
        </w:numPr>
        <w:pStyle w:val="Compact"/>
      </w:pPr>
      <w:r>
        <w:t xml:space="preserve">The Lawyer and the firm disclaim any liability for court-imposed costs, fines, or penalties that may be levied by the court independent of the professional fees itemized in this Invoice.</w:t>
      </w:r>
    </w:p>
    <w:p>
      <w:pPr>
        <w:numPr>
          <w:ilvl w:val="0"/>
          <w:numId w:val="1002"/>
        </w:numPr>
        <w:pStyle w:val="Compact"/>
      </w:pPr>
      <w:r>
        <w:t xml:space="preserve">All amounts are quoted in Bangladeshi Taka (BDT). The VAT component is calculated in accordance with the Value Added Tax Act, 1991, and applicable amendments as enforced by the National Board of Revenue, Bangladesh.</w:t>
      </w:r>
    </w:p>
    <w:p>
      <w:pPr>
        <w:numPr>
          <w:ilvl w:val="0"/>
          <w:numId w:val="1002"/>
        </w:numPr>
        <w:pStyle w:val="Compact"/>
      </w:pPr>
      <w:r>
        <w:t xml:space="preserve">This Invoice is valid for a period of ninety (90) days from the date of issue. Beyond this period, the Lawyer reserves the right to reissue the Invoice with updated rates if applicable fee structures have been revised by the Bar Council of Bangladesh.</w:t>
      </w:r>
    </w:p>
    <w:p>
      <w:pPr>
        <w:pStyle w:val="FirstParagraph"/>
      </w:pPr>
      <w:r>
        <w:rPr>
          <w:bCs/>
          <w:b/>
        </w:rPr>
        <w:t xml:space="preserve">Advocate Md. Rafiqul Chowdhury</w:t>
      </w:r>
      <w:r>
        <w:br/>
      </w:r>
      <w:r>
        <w:t xml:space="preserve">Senior Advocate / Lead Lawyer</w:t>
      </w:r>
      <w:r>
        <w:br/>
      </w:r>
      <w:r>
        <w:t xml:space="preserve">Chowdhury &amp; Associates Legal Practitioners</w:t>
      </w:r>
      <w:r>
        <w:br/>
      </w:r>
      <w:r>
        <w:t xml:space="preserve">Bangladesh Dhaka</w:t>
      </w:r>
    </w:p>
    <w:p>
      <w:pPr>
        <w:pStyle w:val="BodyText"/>
      </w:pPr>
      <w:r>
        <w:rPr>
          <w:bCs/>
          <w:b/>
        </w:rPr>
        <w:t xml:space="preserve">Client Acknowledgment</w:t>
      </w:r>
      <w:r>
        <w:br/>
      </w:r>
      <w:r>
        <w:t xml:space="preserve">Mr. Abdul Karim Sheikh</w:t>
      </w:r>
      <w:r>
        <w:br/>
      </w:r>
      <w:r>
        <w:t xml:space="preserve">Managing Director, Sheikh Textiles Ltd.</w:t>
      </w:r>
      <w:r>
        <w:br/>
      </w:r>
      <w:r>
        <w:t xml:space="preserve">Bangladesh Dhaka</w:t>
      </w:r>
    </w:p>
    <w:p>
      <w:pPr>
        <w:pStyle w:val="BodyText"/>
      </w:pPr>
      <w:r>
        <w:t xml:space="preserve">This Invoice was generated by Chowdhury &amp; Associates Legal Practitioners, a registered legal practice operating in Bangladesh Dhaka under the supervision of the Bar Council of Bangladesh.</w:t>
      </w:r>
      <w:r>
        <w:t xml:space="preserve"> </w:t>
      </w:r>
      <w:r>
        <w:t xml:space="preserve">The Lawyer named herein is a duly licensed advocate of the Supreme Court of Bangladesh and the Dhaka Bar Association.</w:t>
      </w:r>
      <w:r>
        <w:t xml:space="preserve"> </w:t>
      </w:r>
      <w:r>
        <w:t xml:space="preserve">Invoice Reference: CHA/INV/2025/00847 | Generated: 15 June 2025 | Page 1 of 1</w:t>
      </w:r>
      <w:r>
        <w:br/>
      </w:r>
      <w:r>
        <w:br/>
      </w:r>
      <w:r>
        <w:rPr>
          <w:iCs/>
          <w:i/>
        </w:rPr>
        <w:t xml:space="preserve">For queries regarding this Invoice, please contact the billing department at billing@chowdhurylegal.com.bd or call +880-2-9887654 (ext. 204) during business hours.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Dhaka, Bangladesh</dc:title>
  <dc:creator/>
  <dc:language>en</dc:language>
  <cp:keywords/>
  <dcterms:created xsi:type="dcterms:W3CDTF">2026-10-10T07:06:15Z</dcterms:created>
  <dcterms:modified xsi:type="dcterms:W3CDTF">2026-10-10T07:06:15Z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