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São</w:t>
      </w:r>
      <w:r>
        <w:t xml:space="preserve"> </w:t>
      </w:r>
      <w:r>
        <w:t xml:space="preserve">Paulo,</w:t>
      </w:r>
      <w:r>
        <w:t xml:space="preserve"> </w:t>
      </w:r>
      <w:r>
        <w:t xml:space="preserve">Brazil</w:t>
      </w:r>
    </w:p>
    <w:bookmarkStart w:id="20" w:name="invoice"/>
    <w:p>
      <w:pPr>
        <w:pStyle w:val="Heading1"/>
      </w:pPr>
      <w:r>
        <w:t xml:space="preserve">INVOICE</w:t>
      </w:r>
    </w:p>
    <w:p>
      <w:pPr>
        <w:pStyle w:val="FirstParagraph"/>
      </w:pPr>
      <w:r>
        <w:t xml:space="preserve">Legal Services — Attorney at Law — São Paulo, Brazil</w:t>
      </w:r>
    </w:p>
    <w:bookmarkEnd w:id="20"/>
    <w:bookmarkStart w:id="21" w:name="issued-by-lawyer"/>
    <w:p>
      <w:pPr>
        <w:pStyle w:val="Heading3"/>
      </w:pPr>
      <w:r>
        <w:t xml:space="preserve">Issued By (Lawyer)</w:t>
      </w:r>
    </w:p>
    <w:p>
      <w:pPr>
        <w:pStyle w:val="FirstParagraph"/>
      </w:pPr>
      <w:r>
        <w:rPr>
          <w:bCs/>
          <w:b/>
        </w:rPr>
        <w:t xml:space="preserve">Dr. Ricardo Almeida Santos</w:t>
      </w:r>
      <w:r>
        <w:br/>
      </w:r>
      <w:r>
        <w:t xml:space="preserve">OAB/SP Registration: 384.721</w:t>
      </w:r>
      <w:r>
        <w:br/>
      </w:r>
      <w:r>
        <w:t xml:space="preserve">Almeida &amp; Partners Advocacia</w:t>
      </w:r>
      <w:r>
        <w:br/>
      </w:r>
      <w:r>
        <w:t xml:space="preserve">Av. Paulista, 1.578 — 12th Floor</w:t>
      </w:r>
      <w:r>
        <w:br/>
      </w:r>
      <w:r>
        <w:t xml:space="preserve">Bela Vista, São Paulo — SP</w:t>
      </w:r>
      <w:r>
        <w:br/>
      </w:r>
      <w:r>
        <w:t xml:space="preserve">CEP: 01310-100, Brazil</w:t>
      </w:r>
      <w:r>
        <w:br/>
      </w:r>
      <w:r>
        <w:t xml:space="preserve">CNPJ: 12.345.678/0001-90</w:t>
      </w:r>
      <w:r>
        <w:br/>
      </w:r>
      <w:r>
        <w:t xml:space="preserve">Phone: +55 (11) 3284-5678</w:t>
      </w:r>
      <w:r>
        <w:br/>
      </w:r>
      <w:r>
        <w:t xml:space="preserve">Email: contato@almeidapartners.adv.br</w:t>
      </w:r>
    </w:p>
    <w:bookmarkEnd w:id="21"/>
    <w:bookmarkStart w:id="22" w:name="billed-to-client"/>
    <w:p>
      <w:pPr>
        <w:pStyle w:val="Heading3"/>
      </w:pPr>
      <w:r>
        <w:t xml:space="preserve">Billed To (Client)</w:t>
      </w:r>
    </w:p>
    <w:p>
      <w:pPr>
        <w:pStyle w:val="FirstParagraph"/>
      </w:pPr>
      <w:r>
        <w:rPr>
          <w:bCs/>
          <w:b/>
        </w:rPr>
        <w:t xml:space="preserve">Empresa Horizonte Comércio Ltda.</w:t>
      </w:r>
      <w:r>
        <w:br/>
      </w:r>
      <w:r>
        <w:t xml:space="preserve">CNPJ: 98.765.432/0001-10</w:t>
      </w:r>
      <w:r>
        <w:br/>
      </w:r>
      <w:r>
        <w:t xml:space="preserve">Rua Oscar Freire, 890 — 5th Floor</w:t>
      </w:r>
      <w:r>
        <w:br/>
      </w:r>
      <w:r>
        <w:t xml:space="preserve">Jardins, São Paulo — SP</w:t>
      </w:r>
      <w:r>
        <w:br/>
      </w:r>
      <w:r>
        <w:t xml:space="preserve">CEP: 01426-001, Brazil</w:t>
      </w:r>
      <w:r>
        <w:br/>
      </w:r>
      <w:r>
        <w:t xml:space="preserve">Contact: Sra. Mariana Costa</w:t>
      </w:r>
      <w:r>
        <w:br/>
      </w:r>
      <w:r>
        <w:t xml:space="preserve">Email: financeiro@horizontecomercio.com.br</w:t>
      </w:r>
      <w:r>
        <w:br/>
      </w:r>
      <w:r>
        <w:t xml:space="preserve">Phone: +55 (11) 98765-4321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INV-2025-00472</w:t>
            </w:r>
          </w:p>
        </w:tc>
        <w:tc>
          <w:tcPr/>
          <w:p>
            <w:pPr>
              <w:pStyle w:val="Compact"/>
              <w:jc w:val="left"/>
            </w:pPr>
            <w:r>
              <w:t xml:space="preserve">Issue Date:</w:t>
            </w:r>
          </w:p>
        </w:tc>
        <w:tc>
          <w:tcPr/>
          <w:p>
            <w:pPr>
              <w:pStyle w:val="Compact"/>
              <w:jc w:val="left"/>
            </w:pPr>
            <w:r>
              <w:t xml:space="preserve">June 12, 2025</w:t>
            </w:r>
          </w:p>
        </w:tc>
      </w:tr>
      <w:tr>
        <w:tc>
          <w:tcPr/>
          <w:p>
            <w:pPr>
              <w:pStyle w:val="Compact"/>
              <w:jc w:val="left"/>
            </w:pPr>
            <w:r>
              <w:t xml:space="preserve">Due Date:</w:t>
            </w:r>
          </w:p>
        </w:tc>
        <w:tc>
          <w:tcPr/>
          <w:p>
            <w:pPr>
              <w:pStyle w:val="Compact"/>
              <w:jc w:val="left"/>
            </w:pPr>
            <w:r>
              <w:t xml:space="preserve">July 12, 2025 (30 days)</w:t>
            </w:r>
          </w:p>
        </w:tc>
        <w:tc>
          <w:tcPr/>
          <w:p>
            <w:pPr>
              <w:pStyle w:val="Compact"/>
              <w:jc w:val="left"/>
            </w:pPr>
            <w:r>
              <w:t xml:space="preserve">Payment Method:</w:t>
            </w:r>
          </w:p>
        </w:tc>
        <w:tc>
          <w:tcPr/>
          <w:p>
            <w:pPr>
              <w:pStyle w:val="Compact"/>
              <w:jc w:val="left"/>
            </w:pPr>
            <w:r>
              <w:t xml:space="preserve">Bank Transfer (TED/PIX)</w:t>
            </w:r>
          </w:p>
        </w:tc>
      </w:tr>
      <w:tr>
        <w:tc>
          <w:tcPr/>
          <w:p>
            <w:pPr>
              <w:pStyle w:val="Compact"/>
              <w:jc w:val="left"/>
            </w:pPr>
            <w:r>
              <w:t xml:space="preserve">Reference Case:</w:t>
            </w:r>
          </w:p>
        </w:tc>
        <w:tc>
          <w:tcPr>
            <w:gridSpan w:val="3"/>
          </w:tcPr>
          <w:p>
            <w:pPr>
              <w:pStyle w:val="Compact"/>
              <w:jc w:val="left"/>
            </w:pPr>
            <w:r>
              <w:t xml:space="preserve">Labor Dispute — Process No. 1004523-88.2025.5.02.0031 (TRT-2, São Paulo)</w:t>
            </w:r>
          </w:p>
        </w:tc>
      </w:tr>
    </w:tbl>
    <w:bookmarkStart w:id="23" w:name="description-of-legal-services-rendered"/>
    <w:p>
      <w:pPr>
        <w:pStyle w:val="Heading2"/>
      </w:pPr>
      <w:r>
        <w:t xml:space="preserve">Description of Legal Services Rendered</w:t>
      </w:r>
    </w:p>
    <w:p>
      <w:pPr>
        <w:pStyle w:val="FirstParagraph"/>
      </w:pPr>
      <w:r>
        <w:t xml:space="preserve">#</w:t>
      </w:r>
    </w:p>
    <w:bookmarkEnd w:id="23"/>
    <w:p>
      <w:pPr>
        <w:pStyle w:val="BodyText"/>
      </w:pPr>
      <w:r>
        <w:t xml:space="preserve">Service Description</w:t>
      </w:r>
    </w:p>
    <w:p>
      <w:pPr>
        <w:pStyle w:val="BodyText"/>
      </w:pPr>
      <w:r>
        <w:t xml:space="preserve">Hours / Units</w:t>
      </w:r>
    </w:p>
    <w:p>
      <w:pPr>
        <w:pStyle w:val="BodyText"/>
      </w:pPr>
      <w:r>
        <w:t xml:space="preserve">Rate (BRL)</w:t>
      </w:r>
    </w:p>
    <w:p>
      <w:pPr>
        <w:pStyle w:val="BodyText"/>
      </w:pPr>
      <w:r>
        <w:t xml:space="preserve">Amount (BRL)</w:t>
      </w:r>
    </w:p>
    <w:p>
      <w:pPr>
        <w:pStyle w:val="BodyText"/>
      </w:pPr>
      <w:r>
        <w:t xml:space="preserve">1</w:t>
      </w:r>
    </w:p>
    <w:p>
      <w:pPr>
        <w:pStyle w:val="BodyText"/>
      </w:pPr>
      <w:r>
        <w:t xml:space="preserve">Initial legal consultation and case assessment regarding labor dispute filed by former employee against Empresa Horizonte Comércio Ltda. The Lawyer reviewed all employment contracts, termination notices, and internal HR documentation to determine the legal merits and potential exposure of the client.</w:t>
      </w:r>
    </w:p>
    <w:p>
      <w:pPr>
        <w:pStyle w:val="BodyText"/>
      </w:pPr>
      <w:r>
        <w:t xml:space="preserve">4 hours</w:t>
      </w:r>
    </w:p>
    <w:p>
      <w:pPr>
        <w:pStyle w:val="BodyText"/>
      </w:pPr>
      <w:r>
        <w:t xml:space="preserve">R$ 850,00</w:t>
      </w:r>
    </w:p>
    <w:p>
      <w:pPr>
        <w:pStyle w:val="BodyText"/>
      </w:pPr>
      <w:r>
        <w:t xml:space="preserve">R$ 3.400,00</w:t>
      </w:r>
    </w:p>
    <w:p>
      <w:pPr>
        <w:pStyle w:val="BodyText"/>
      </w:pPr>
      <w:r>
        <w:t xml:space="preserve">2</w:t>
      </w:r>
    </w:p>
    <w:p>
      <w:pPr>
        <w:pStyle w:val="BodyText"/>
      </w:pPr>
      <w:r>
        <w:t xml:space="preserve">Drafting and filing of the initial defense (Contestação) before the 31st Labor Court of São Paulo (Vara do Trabalho de São Paulo). This included comprehensive legal argumentation, citation of applicable Brazilian labor legislation (CLT), and submission of documentary evidence in support of the client's position.</w:t>
      </w:r>
    </w:p>
    <w:p>
      <w:pPr>
        <w:pStyle w:val="BodyText"/>
      </w:pPr>
      <w:r>
        <w:t xml:space="preserve">12 hours</w:t>
      </w:r>
    </w:p>
    <w:p>
      <w:pPr>
        <w:pStyle w:val="BodyText"/>
      </w:pPr>
      <w:r>
        <w:t xml:space="preserve">R$ 850,00</w:t>
      </w:r>
    </w:p>
    <w:p>
      <w:pPr>
        <w:pStyle w:val="BodyText"/>
      </w:pPr>
      <w:r>
        <w:t xml:space="preserve">R$ 10.200,00</w:t>
      </w:r>
    </w:p>
    <w:p>
      <w:pPr>
        <w:pStyle w:val="BodyText"/>
      </w:pPr>
      <w:r>
        <w:t xml:space="preserve">3</w:t>
      </w:r>
    </w:p>
    <w:p>
      <w:pPr>
        <w:pStyle w:val="BodyText"/>
      </w:pPr>
      <w:r>
        <w:t xml:space="preserve">Attendance at the mandatory conciliation hearing (audiência de conciliação) held at the TRT-2 (Tribunal Regional do Trabalho da 2ª Região) in São Paulo. The Lawyer represented the client, negotiated settlement terms, and prepared a detailed post-hearing memorandum for the client's management team.</w:t>
      </w:r>
    </w:p>
    <w:p>
      <w:pPr>
        <w:pStyle w:val="BodyText"/>
      </w:pPr>
      <w:r>
        <w:t xml:space="preserve">6 hours</w:t>
      </w:r>
    </w:p>
    <w:p>
      <w:pPr>
        <w:pStyle w:val="BodyText"/>
      </w:pPr>
      <w:r>
        <w:t xml:space="preserve">R$ 850,00</w:t>
      </w:r>
    </w:p>
    <w:p>
      <w:pPr>
        <w:pStyle w:val="BodyText"/>
      </w:pPr>
      <w:r>
        <w:t xml:space="preserve">R$ 5.100,00</w:t>
      </w:r>
    </w:p>
    <w:p>
      <w:pPr>
        <w:pStyle w:val="BodyText"/>
      </w:pPr>
      <w:r>
        <w:t xml:space="preserve">4</w:t>
      </w:r>
    </w:p>
    <w:p>
      <w:pPr>
        <w:pStyle w:val="BodyText"/>
      </w:pPr>
      <w:r>
        <w:t xml:space="preserve">Preparation and submission of a detailed legal opinion (parecer jurídico) analyzing the risks associated with the ongoing labor proceedings, including potential damages, moral damages claims, and the impact on the company's reputation in the São Paulo business community.</w:t>
      </w:r>
    </w:p>
    <w:p>
      <w:pPr>
        <w:pStyle w:val="BodyText"/>
      </w:pPr>
      <w:r>
        <w:t xml:space="preserve">8 hours</w:t>
      </w:r>
    </w:p>
    <w:p>
      <w:pPr>
        <w:pStyle w:val="BodyText"/>
      </w:pPr>
      <w:r>
        <w:t xml:space="preserve">R$ 850,00</w:t>
      </w:r>
    </w:p>
    <w:p>
      <w:pPr>
        <w:pStyle w:val="BodyText"/>
      </w:pPr>
      <w:r>
        <w:t xml:space="preserve">R$ 6.800,00</w:t>
      </w:r>
    </w:p>
    <w:p>
      <w:pPr>
        <w:pStyle w:val="BodyText"/>
      </w:pPr>
      <w:r>
        <w:t xml:space="preserve">5</w:t>
      </w:r>
    </w:p>
    <w:p>
      <w:pPr>
        <w:pStyle w:val="BodyText"/>
      </w:pPr>
      <w:r>
        <w:t xml:space="preserve">Coordination of expert witness (perito contábil) engagement and review of the accounting expert's report regarding overtime calculations and benefit entitlements. The Lawyer prepared a technical challenge (impugnação) to portions of the expert report that were deemed inaccurate or incomplete.</w:t>
      </w:r>
    </w:p>
    <w:p>
      <w:pPr>
        <w:pStyle w:val="BodyText"/>
      </w:pPr>
      <w:r>
        <w:t xml:space="preserve">10 hours</w:t>
      </w:r>
    </w:p>
    <w:p>
      <w:pPr>
        <w:pStyle w:val="BodyText"/>
      </w:pPr>
      <w:r>
        <w:t xml:space="preserve">R$ 850,00</w:t>
      </w:r>
    </w:p>
    <w:p>
      <w:pPr>
        <w:pStyle w:val="BodyText"/>
      </w:pPr>
      <w:r>
        <w:t xml:space="preserve">R$ 8.500,00</w:t>
      </w:r>
    </w:p>
    <w:p>
      <w:pPr>
        <w:pStyle w:val="BodyText"/>
      </w:pPr>
      <w:r>
        <w:t xml:space="preserve">6</w:t>
      </w:r>
    </w:p>
    <w:p>
      <w:pPr>
        <w:pStyle w:val="BodyText"/>
      </w:pPr>
      <w:r>
        <w:t xml:space="preserve">Preparation of final arguments (razões finais) and submission of closing brief to the Labor Judge. This included a comprehensive legal analysis referencing Brazilian Supreme Court (STF) and Superior Labor Court (TST) precedents applicable to the dispute.</w:t>
      </w:r>
    </w:p>
    <w:p>
      <w:pPr>
        <w:pStyle w:val="BodyText"/>
      </w:pPr>
      <w:r>
        <w:t xml:space="preserve">10 hours</w:t>
      </w:r>
    </w:p>
    <w:p>
      <w:pPr>
        <w:pStyle w:val="BodyText"/>
      </w:pPr>
      <w:r>
        <w:t xml:space="preserve">R$ 850,00</w:t>
      </w:r>
    </w:p>
    <w:p>
      <w:pPr>
        <w:pStyle w:val="BodyText"/>
      </w:pPr>
      <w:r>
        <w:t xml:space="preserve">R$ 8.500,00</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R$ 42.500,00</w:t>
            </w:r>
          </w:p>
        </w:tc>
      </w:tr>
      <w:tr>
        <w:tc>
          <w:tcPr/>
          <w:p>
            <w:pPr>
              <w:pStyle w:val="Compact"/>
              <w:jc w:val="left"/>
            </w:pPr>
            <w:r>
              <w:t xml:space="preserve">Reimbursable Expenses (court fees, postage, expert witness fees)</w:t>
            </w:r>
          </w:p>
        </w:tc>
        <w:tc>
          <w:tcPr/>
          <w:p>
            <w:pPr>
              <w:pStyle w:val="Compact"/>
              <w:jc w:val="right"/>
            </w:pPr>
            <w:r>
              <w:t xml:space="preserve">R$ 1.247,30</w:t>
            </w:r>
          </w:p>
        </w:tc>
      </w:tr>
      <w:tr>
        <w:tc>
          <w:tcPr/>
          <w:p>
            <w:pPr>
              <w:pStyle w:val="Compact"/>
              <w:jc w:val="left"/>
            </w:pPr>
            <w:r>
              <w:t xml:space="preserve">ISS (Imposto Sobre Serviços) — 3% (São Paulo municipal tax)</w:t>
            </w:r>
          </w:p>
        </w:tc>
        <w:tc>
          <w:tcPr/>
          <w:p>
            <w:pPr>
              <w:pStyle w:val="Compact"/>
              <w:jc w:val="right"/>
            </w:pPr>
            <w:r>
              <w:t xml:space="preserve">R$ 1.275,00</w:t>
            </w:r>
          </w:p>
        </w:tc>
      </w:tr>
      <w:tr>
        <w:tc>
          <w:tcPr/>
          <w:p>
            <w:pPr>
              <w:pStyle w:val="Compact"/>
              <w:jc w:val="left"/>
            </w:pPr>
            <w:r>
              <w:t xml:space="preserve">TOTAL AMOUNT DUE</w:t>
            </w:r>
          </w:p>
        </w:tc>
        <w:tc>
          <w:tcPr/>
          <w:p>
            <w:pPr>
              <w:pStyle w:val="Compact"/>
              <w:jc w:val="right"/>
            </w:pPr>
            <w:r>
              <w:t xml:space="preserve">R$ 45.022,30</w:t>
            </w:r>
          </w:p>
        </w:tc>
      </w:tr>
    </w:tbl>
    <w:bookmarkStart w:id="24" w:name="payment-terms-and-important-notes"/>
    <w:p>
      <w:pPr>
        <w:pStyle w:val="Heading3"/>
      </w:pPr>
      <w:r>
        <w:t xml:space="preserve">Payment Terms and Important Notes</w:t>
      </w:r>
    </w:p>
    <w:p>
      <w:pPr>
        <w:numPr>
          <w:ilvl w:val="0"/>
          <w:numId w:val="1001"/>
        </w:numPr>
        <w:pStyle w:val="Compact"/>
      </w:pPr>
      <w:r>
        <w:t xml:space="preserve">This Invoice must be settled in full within thirty (30) calendar days from the issue date, no later than July 12, 2025. Payment is to be made via bank transfer (TED) or PIX to the account details provided below.</w:t>
      </w:r>
    </w:p>
    <w:p>
      <w:pPr>
        <w:numPr>
          <w:ilvl w:val="0"/>
          <w:numId w:val="1001"/>
        </w:numPr>
        <w:pStyle w:val="Compact"/>
      </w:pPr>
      <w:r>
        <w:t xml:space="preserve">Bank: Banco do Brasil S.A. | Agency: 2847-3 | Account: 45.678-9 | CNPJ: 12.345.678/0001-90 | PIX Key: 12.345.678/0001-90</w:t>
      </w:r>
    </w:p>
    <w:p>
      <w:pPr>
        <w:numPr>
          <w:ilvl w:val="0"/>
          <w:numId w:val="1001"/>
        </w:numPr>
        <w:pStyle w:val="Compact"/>
      </w:pPr>
      <w:r>
        <w:t xml:space="preserve">In the event of late payment, a monetary penalty of 2% (two percent) will be applied, along with interest calculated at the rate of 1% per month (pro-rata die), in accordance with Article 41 of the OAB/SP Code of Ethics and the Brazilian Civil Code (Código Civil, Art. 412).</w:t>
      </w:r>
    </w:p>
    <w:p>
      <w:pPr>
        <w:numPr>
          <w:ilvl w:val="0"/>
          <w:numId w:val="1001"/>
        </w:numPr>
        <w:pStyle w:val="Compact"/>
      </w:pPr>
      <w:r>
        <w:t xml:space="preserve">All professional fees charged by the Lawyer are subject to the municipal service tax (ISS) levied by the Prefeitura de São Paulo at the current rate of 3%. This tax is included in the total amount of this Invoice.</w:t>
      </w:r>
    </w:p>
    <w:p>
      <w:pPr>
        <w:numPr>
          <w:ilvl w:val="0"/>
          <w:numId w:val="1001"/>
        </w:numPr>
        <w:pStyle w:val="Compact"/>
      </w:pPr>
      <w:r>
        <w:t xml:space="preserve">The rates stated in this Invoice are in accordance with the fee schedule approved by the OAB (Ordem dos Advogados do Brasil) — São Paulo Section, and reflect the complexity and volume of legal work performed in the jurisdiction of São Paulo, Brazil.</w:t>
      </w:r>
    </w:p>
    <w:p>
      <w:pPr>
        <w:numPr>
          <w:ilvl w:val="0"/>
          <w:numId w:val="1001"/>
        </w:numPr>
        <w:pStyle w:val="Compact"/>
      </w:pPr>
      <w:r>
        <w:t xml:space="preserve">Reimbursable expenses are charged at cost and are supported by official receipts and documentation, which are available upon request from the client's finance department.</w:t>
      </w:r>
    </w:p>
    <w:p>
      <w:pPr>
        <w:numPr>
          <w:ilvl w:val="0"/>
          <w:numId w:val="1001"/>
        </w:numPr>
        <w:pStyle w:val="Compact"/>
      </w:pPr>
      <w:r>
        <w:t xml:space="preserve">This Invoice constitutes a formal billing document for the legal services rendered by the Lawyer and does not constitute a guarantee of outcome in the referenced court proceedings. The Lawyer's professional judgment and ethical obligations under the Brazilian Statute of Advocacy (Estatuto da Advocacia, Lei 8.906/1994) govern all actions taken on behalf of the client.</w:t>
      </w:r>
    </w:p>
    <w:p>
      <w:pPr>
        <w:numPr>
          <w:ilvl w:val="0"/>
          <w:numId w:val="1001"/>
        </w:numPr>
        <w:pStyle w:val="Compact"/>
      </w:pPr>
      <w:r>
        <w:t xml:space="preserve">Any disputes regarding the amounts stated in this Invoice should be directed to the Lawyer's office within fifteen (15) business days of receipt. Failure to contest the charges within this period shall be considered acceptance of the Invoice in its entirety.</w:t>
      </w:r>
    </w:p>
    <w:bookmarkEnd w:id="24"/>
    <w:p>
      <w:pPr>
        <w:pStyle w:val="FirstParagraph"/>
      </w:pPr>
      <w:r>
        <w:rPr>
          <w:bCs/>
          <w:b/>
        </w:rPr>
        <w:t xml:space="preserve">Dr. Ricardo Almeida Santos</w:t>
      </w:r>
      <w:r>
        <w:br/>
      </w:r>
      <w:r>
        <w:t xml:space="preserve">Lawyer — OAB/SP 384.721</w:t>
      </w:r>
      <w:r>
        <w:br/>
      </w:r>
      <w:r>
        <w:t xml:space="preserve">Almeida &amp; Partners Advocacia</w:t>
      </w:r>
      <w:r>
        <w:br/>
      </w:r>
      <w:r>
        <w:t xml:space="preserve">São Paulo, Brazil</w:t>
      </w:r>
    </w:p>
    <w:p>
      <w:pPr>
        <w:pStyle w:val="BodyText"/>
      </w:pPr>
      <w:r>
        <w:rPr>
          <w:bCs/>
          <w:b/>
        </w:rPr>
        <w:t xml:space="preserve">Client Acknowledgment</w:t>
      </w:r>
      <w:r>
        <w:br/>
      </w:r>
      <w:r>
        <w:t xml:space="preserve">Empresa Horizonte Comércio Ltda.</w:t>
      </w:r>
      <w:r>
        <w:br/>
      </w:r>
      <w:r>
        <w:t xml:space="preserve">Name / Signature / Date</w:t>
      </w:r>
      <w:r>
        <w:br/>
      </w:r>
      <w:r>
        <w:t xml:space="preserve">São Paulo, Brazil</w:t>
      </w:r>
    </w:p>
    <w:p>
      <w:pPr>
        <w:pStyle w:val="BodyText"/>
      </w:pPr>
      <w:r>
        <w:rPr>
          <w:bCs/>
          <w:b/>
        </w:rPr>
        <w:t xml:space="preserve">Almeida &amp; Partners Advocacia</w:t>
      </w:r>
      <w:r>
        <w:t xml:space="preserve"> </w:t>
      </w:r>
      <w:r>
        <w:t xml:space="preserve">— Av. Paulista, 1.578, 12th Floor, Bela Vista, São Paulo — SP, CEP 01310-100, Brazil</w:t>
      </w:r>
      <w:r>
        <w:br/>
      </w:r>
      <w:r>
        <w:t xml:space="preserve">CNPJ: 12.345.678/0001-90 | OAB/SP: 384.721 | Phone: +55 (11) 3284-5678 | Email: contato@almeidapartners.adv.br</w:t>
      </w:r>
    </w:p>
    <w:p>
      <w:pPr>
        <w:pStyle w:val="BodyText"/>
      </w:pPr>
      <w:r>
        <w:t xml:space="preserve">This Invoice was issued in accordance with the Brazilian Federal Revenue Service (Receita Federal) regulations and the OAB/SP professional conduct rules. All services were rendered in the city of São Paulo, State of São Paulo, Federal Republic of Brazil. The Lawyer assumes full professional responsibility for the legal work described herein under the provisions of Law No. 8.906/1994 and the OAB Internal Regulations.</w:t>
      </w:r>
    </w:p>
    <w:p>
      <w:pPr>
        <w:pStyle w:val="BodyText"/>
      </w:pPr>
      <w:r>
        <w:t xml:space="preserve">Invoice INV-2025-00472 —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São Paulo, Brazil</dc:title>
  <dc:creator/>
  <dc:language>en</dc:language>
  <cp:keywords/>
  <dcterms:created xsi:type="dcterms:W3CDTF">2026-10-10T07:07:33Z</dcterms:created>
  <dcterms:modified xsi:type="dcterms:W3CDTF">2026-10-10T07:07:33Z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