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Legal</w:t>
      </w:r>
      <w:r>
        <w:t xml:space="preserve"> </w:t>
      </w:r>
      <w:r>
        <w:t xml:space="preserve">Invoice</w:t>
      </w:r>
      <w:r>
        <w:t xml:space="preserve"> </w:t>
      </w:r>
      <w:r>
        <w:t xml:space="preserve">-</w:t>
      </w:r>
      <w:r>
        <w:t xml:space="preserve"> </w:t>
      </w:r>
      <w:r>
        <w:t xml:space="preserve">Montreal,</w:t>
      </w:r>
      <w:r>
        <w:t xml:space="preserve"> </w:t>
      </w:r>
      <w:r>
        <w:t xml:space="preserve">Canada</w:t>
      </w:r>
    </w:p>
    <w:bookmarkStart w:id="20" w:name="beauchamp-tremblay-llp"/>
    <w:p>
      <w:pPr>
        <w:pStyle w:val="Heading1"/>
      </w:pPr>
      <w:r>
        <w:t xml:space="preserve">BEAUCHAMP &amp; TREMBLAY LLP</w:t>
      </w:r>
    </w:p>
    <w:p>
      <w:pPr>
        <w:pStyle w:val="FirstParagraph"/>
      </w:pPr>
      <w:r>
        <w:t xml:space="preserve">Bureau d'Avocats / Law Office</w:t>
      </w:r>
    </w:p>
    <w:p>
      <w:pPr>
        <w:pStyle w:val="BodyText"/>
      </w:pPr>
      <w:r>
        <w:t xml:space="preserve">1250 Rue Sainte-Catherine Ouest, Bureau 4500</w:t>
      </w:r>
      <w:r>
        <w:br/>
      </w:r>
      <w:r>
        <w:t xml:space="preserve">Montreal, Quebec, Canada H3B 4W8</w:t>
      </w:r>
      <w:r>
        <w:br/>
      </w:r>
      <w:r>
        <w:t xml:space="preserve">Tel: (514) 555-0192  |  Fax: (514) 555-0193  |  Email: billing@beauchamp-tremblay.ca</w:t>
      </w:r>
      <w:r>
        <w:br/>
      </w:r>
      <w:r>
        <w:t xml:space="preserve">Barreau du Québec License No. 45218</w:t>
      </w:r>
    </w:p>
    <w:bookmarkEnd w:id="20"/>
    <w:p>
      <w:pPr>
        <w:pStyle w:val="BodyText"/>
      </w:pPr>
      <w:r>
        <w:t xml:space="preserve">INVOICE</w:t>
      </w:r>
    </w:p>
    <w:p>
      <w:pPr>
        <w:pStyle w:val="BodyText"/>
      </w:pPr>
      <w:r>
        <w:rPr>
          <w:bCs/>
          <w:b/>
        </w:rPr>
        <w:t xml:space="preserve">Invoice Number:</w:t>
      </w:r>
      <w:r>
        <w:t xml:space="preserve"> </w:t>
      </w:r>
      <w:r>
        <w:t xml:space="preserve">INV-2025-00487</w:t>
      </w:r>
    </w:p>
    <w:p>
      <w:pPr>
        <w:pStyle w:val="BodyText"/>
      </w:pPr>
      <w:r>
        <w:rPr>
          <w:bCs/>
          <w:b/>
        </w:rPr>
        <w:t xml:space="preserve">Date of Issue:</w:t>
      </w:r>
      <w:r>
        <w:t xml:space="preserve"> </w:t>
      </w:r>
      <w:r>
        <w:t xml:space="preserve">June 15, 2025</w:t>
      </w:r>
    </w:p>
    <w:p>
      <w:pPr>
        <w:pStyle w:val="BodyText"/>
      </w:pPr>
      <w:r>
        <w:rPr>
          <w:bCs/>
          <w:b/>
        </w:rPr>
        <w:t xml:space="preserve">Due Date:</w:t>
      </w:r>
      <w:r>
        <w:t xml:space="preserve"> </w:t>
      </w:r>
      <w:r>
        <w:t xml:space="preserve">July 15, 2025 (30 days)</w:t>
      </w:r>
    </w:p>
    <w:p>
      <w:pPr>
        <w:pStyle w:val="BodyText"/>
      </w:pPr>
      <w:r>
        <w:rPr>
          <w:bCs/>
          <w:b/>
        </w:rPr>
        <w:t xml:space="preserve">File Reference:</w:t>
      </w:r>
      <w:r>
        <w:t xml:space="preserve"> </w:t>
      </w:r>
      <w:r>
        <w:t xml:space="preserve">MT-2025-0342</w:t>
      </w:r>
    </w:p>
    <w:p>
      <w:pPr>
        <w:pStyle w:val="BodyText"/>
      </w:pPr>
      <w:r>
        <w:t xml:space="preserve">Canada Montreal</w:t>
      </w:r>
      <w:r>
        <w:t xml:space="preserve"> </w:t>
      </w:r>
      <w:r>
        <w:t xml:space="preserve"> </w:t>
      </w:r>
      <w:r>
        <w:t xml:space="preserve"> </w:t>
      </w:r>
      <w:r>
        <w:t xml:space="preserve">Legal Services</w:t>
      </w:r>
    </w:p>
    <w:bookmarkStart w:id="21" w:name="lawyer-law-firm-billed-by"/>
    <w:p>
      <w:pPr>
        <w:pStyle w:val="Heading3"/>
      </w:pPr>
      <w:r>
        <w:t xml:space="preserve">Lawyer / Law Firm (Billed By)</w:t>
      </w:r>
    </w:p>
    <w:p>
      <w:pPr>
        <w:pStyle w:val="FirstParagraph"/>
      </w:pPr>
      <w:r>
        <w:rPr>
          <w:bCs/>
          <w:b/>
        </w:rPr>
        <w:t xml:space="preserve">Beauchamp &amp; Tremblay LLP</w:t>
      </w:r>
    </w:p>
    <w:p>
      <w:pPr>
        <w:pStyle w:val="BodyText"/>
      </w:pPr>
      <w:r>
        <w:t xml:space="preserve">Attn: Me. Catherine Beauchamp, Barrister &amp; Solicitor</w:t>
      </w:r>
    </w:p>
    <w:p>
      <w:pPr>
        <w:pStyle w:val="BodyText"/>
      </w:pPr>
      <w:r>
        <w:t xml:space="preserve">1250 Rue Sainte-Catherine Ouest, Bureau 4500</w:t>
      </w:r>
    </w:p>
    <w:p>
      <w:pPr>
        <w:pStyle w:val="BodyText"/>
      </w:pPr>
      <w:r>
        <w:t xml:space="preserve">Montreal, Quebec, Canada H3B 4W8</w:t>
      </w:r>
    </w:p>
    <w:p>
      <w:pPr>
        <w:pStyle w:val="BodyText"/>
      </w:pPr>
      <w:r>
        <w:t xml:space="preserve">QST No.: Q123456789</w:t>
      </w:r>
    </w:p>
    <w:p>
      <w:pPr>
        <w:pStyle w:val="BodyText"/>
      </w:pPr>
      <w:r>
        <w:t xml:space="preserve">GST No.: 123456789RT0001</w:t>
      </w:r>
    </w:p>
    <w:bookmarkEnd w:id="21"/>
    <w:bookmarkStart w:id="22" w:name="client-billed-to"/>
    <w:p>
      <w:pPr>
        <w:pStyle w:val="Heading3"/>
      </w:pPr>
      <w:r>
        <w:t xml:space="preserve">Client (Billed To)</w:t>
      </w:r>
    </w:p>
    <w:p>
      <w:pPr>
        <w:pStyle w:val="FirstParagraph"/>
      </w:pPr>
      <w:r>
        <w:rPr>
          <w:bCs/>
          <w:b/>
        </w:rPr>
        <w:t xml:space="preserve">Mr. David Lavoie</w:t>
      </w:r>
    </w:p>
    <w:p>
      <w:pPr>
        <w:pStyle w:val="BodyText"/>
      </w:pPr>
      <w:r>
        <w:t xml:space="preserve">487 Avenue du Parc, Apt. 1204</w:t>
      </w:r>
    </w:p>
    <w:p>
      <w:pPr>
        <w:pStyle w:val="BodyText"/>
      </w:pPr>
      <w:r>
        <w:t xml:space="preserve">Montreal, Quebec, Canada H2X 2Y5</w:t>
      </w:r>
    </w:p>
    <w:p>
      <w:pPr>
        <w:pStyle w:val="BodyText"/>
      </w:pPr>
      <w:r>
        <w:t xml:space="preserve">Client File: CL-2025-0891</w:t>
      </w:r>
    </w:p>
    <w:p>
      <w:pPr>
        <w:pStyle w:val="BodyText"/>
      </w:pPr>
      <w:r>
        <w:t xml:space="preserve">Phone: (514) 555-0347</w:t>
      </w:r>
    </w:p>
    <w:p>
      <w:pPr>
        <w:pStyle w:val="BodyText"/>
      </w:pPr>
      <w:r>
        <w:t xml:space="preserve">Email: d.lavoie@email.ca</w:t>
      </w:r>
    </w:p>
    <w:bookmarkEnd w:id="22"/>
    <w:bookmarkStart w:id="25" w:name="description-of-legal-services-rendered"/>
    <w:p>
      <w:pPr>
        <w:pStyle w:val="Heading2"/>
      </w:pPr>
      <w:r>
        <w:t xml:space="preserve">Description of Legal Services Rendered</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Date</w:t>
            </w:r>
          </w:p>
        </w:tc>
        <w:tc>
          <w:tcPr/>
          <w:p>
            <w:pPr>
              <w:pStyle w:val="Compact"/>
              <w:jc w:val="left"/>
            </w:pPr>
            <w:r>
              <w:t xml:space="preserve">Ref.</w:t>
            </w:r>
          </w:p>
        </w:tc>
        <w:tc>
          <w:tcPr/>
          <w:p>
            <w:pPr>
              <w:pStyle w:val="Compact"/>
              <w:jc w:val="left"/>
            </w:pPr>
            <w:r>
              <w:t xml:space="preserve">Description of Services</w:t>
            </w:r>
          </w:p>
        </w:tc>
        <w:tc>
          <w:tcPr/>
          <w:p>
            <w:pPr>
              <w:pStyle w:val="Compact"/>
              <w:jc w:val="left"/>
            </w:pPr>
            <w:r>
              <w:t xml:space="preserve">Hours</w:t>
            </w:r>
          </w:p>
        </w:tc>
        <w:tc>
          <w:tcPr/>
          <w:p>
            <w:pPr>
              <w:pStyle w:val="Compact"/>
              <w:jc w:val="left"/>
            </w:pPr>
            <w:r>
              <w:t xml:space="preserve">Amount (CAD)</w:t>
            </w:r>
          </w:p>
        </w:tc>
      </w:tr>
      <w:tr>
        <w:tc>
          <w:tcPr/>
          <w:p>
            <w:pPr>
              <w:pStyle w:val="Compact"/>
              <w:jc w:val="left"/>
            </w:pPr>
            <w:r>
              <w:t xml:space="preserve">May 02, 2025</w:t>
            </w:r>
          </w:p>
        </w:tc>
        <w:tc>
          <w:tcPr/>
          <w:p>
            <w:pPr>
              <w:pStyle w:val="Compact"/>
              <w:jc w:val="left"/>
            </w:pPr>
            <w:r>
              <w:t xml:space="preserve">001</w:t>
            </w:r>
          </w:p>
        </w:tc>
        <w:tc>
          <w:tcPr/>
          <w:p>
            <w:pPr>
              <w:pStyle w:val="Compact"/>
              <w:jc w:val="left"/>
            </w:pPr>
            <w:r>
              <w:t xml:space="preserve">Initial consultation and case assessment regarding residential tenancy dispute under the</w:t>
            </w:r>
            <w:r>
              <w:t xml:space="preserve"> </w:t>
            </w:r>
            <w:r>
              <w:rPr>
                <w:iCs/>
                <w:i/>
              </w:rPr>
              <w:t xml:space="preserve">Code civil du Québec</w:t>
            </w:r>
            <w:r>
              <w:t xml:space="preserve">. Review of lease agreement, correspondence with landlord, and preliminary legal strategy formulation. This Invoice covers the professional time of the assigned Lawyer in Montreal, Canada, for the initial intake and evaluation of your matter.</w:t>
            </w:r>
          </w:p>
        </w:tc>
        <w:tc>
          <w:tcPr/>
          <w:p>
            <w:pPr>
              <w:pStyle w:val="Compact"/>
              <w:jc w:val="left"/>
            </w:pPr>
            <w:r>
              <w:t xml:space="preserve">1.5</w:t>
            </w:r>
          </w:p>
        </w:tc>
        <w:tc>
          <w:tcPr/>
          <w:p>
            <w:pPr>
              <w:pStyle w:val="Compact"/>
              <w:jc w:val="left"/>
            </w:pPr>
            <w:r>
              <w:t xml:space="preserve">$375.00</w:t>
            </w:r>
          </w:p>
        </w:tc>
      </w:tr>
      <w:tr>
        <w:tc>
          <w:tcPr/>
          <w:p>
            <w:pPr>
              <w:pStyle w:val="Compact"/>
              <w:jc w:val="left"/>
            </w:pPr>
            <w:r>
              <w:t xml:space="preserve">May 09, 2025</w:t>
            </w:r>
          </w:p>
        </w:tc>
        <w:tc>
          <w:tcPr/>
          <w:p>
            <w:pPr>
              <w:pStyle w:val="Compact"/>
              <w:jc w:val="left"/>
            </w:pPr>
            <w:r>
              <w:t xml:space="preserve">002</w:t>
            </w:r>
          </w:p>
        </w:tc>
        <w:tc>
          <w:tcPr/>
          <w:p>
            <w:pPr>
              <w:pStyle w:val="Compact"/>
              <w:jc w:val="left"/>
            </w:pPr>
            <w:r>
              <w:t xml:space="preserve">Drafting and filing of a formal demand letter (mise en demeure) to the landlord regarding unauthorized rent increase and failure to perform mandatory repairs as stipulated in the lease. The Lawyer prepared this document in accordance with Quebec civil law procedures and the Tribunal administratif du Québec (TAT) guidelines applicable in Canada Montreal jurisdiction.</w:t>
            </w:r>
          </w:p>
        </w:tc>
        <w:tc>
          <w:tcPr/>
          <w:p>
            <w:pPr>
              <w:pStyle w:val="Compact"/>
              <w:jc w:val="left"/>
            </w:pPr>
            <w:r>
              <w:t xml:space="preserve">2.0</w:t>
            </w:r>
          </w:p>
        </w:tc>
        <w:tc>
          <w:tcPr/>
          <w:p>
            <w:pPr>
              <w:pStyle w:val="Compact"/>
              <w:jc w:val="left"/>
            </w:pPr>
            <w:r>
              <w:t xml:space="preserve">$500.00</w:t>
            </w:r>
          </w:p>
        </w:tc>
      </w:tr>
      <w:tr>
        <w:tc>
          <w:tcPr/>
          <w:p>
            <w:pPr>
              <w:pStyle w:val="Compact"/>
              <w:jc w:val="left"/>
            </w:pPr>
            <w:r>
              <w:t xml:space="preserve">May 16, 2025</w:t>
            </w:r>
          </w:p>
        </w:tc>
        <w:tc>
          <w:tcPr/>
          <w:p>
            <w:pPr>
              <w:pStyle w:val="Compact"/>
              <w:jc w:val="left"/>
            </w:pPr>
            <w:r>
              <w:t xml:space="preserve">003</w:t>
            </w:r>
          </w:p>
        </w:tc>
        <w:tc>
          <w:tcPr/>
          <w:p>
            <w:pPr>
              <w:pStyle w:val="Compact"/>
              <w:jc w:val="left"/>
            </w:pPr>
            <w:r>
              <w:t xml:space="preserve">Preparation of application for relief (requête) to the Tribunal administratif du Québec, including compilation of supporting evidence, witness statements, and legal argumentation. The Lawyer conducted extensive research into applicable Quebec tenancy legislation and relevant case law from the Cour du Québec and Cour d'appel du Québec.</w:t>
            </w:r>
          </w:p>
        </w:tc>
        <w:tc>
          <w:tcPr/>
          <w:p>
            <w:pPr>
              <w:pStyle w:val="Compact"/>
              <w:jc w:val="left"/>
            </w:pPr>
            <w:r>
              <w:t xml:space="preserve">4.5</w:t>
            </w:r>
          </w:p>
        </w:tc>
        <w:tc>
          <w:tcPr/>
          <w:p>
            <w:pPr>
              <w:pStyle w:val="Compact"/>
              <w:jc w:val="left"/>
            </w:pPr>
            <w:r>
              <w:t xml:space="preserve">$1,125.00</w:t>
            </w:r>
          </w:p>
        </w:tc>
      </w:tr>
      <w:tr>
        <w:tc>
          <w:tcPr/>
          <w:p>
            <w:pPr>
              <w:pStyle w:val="Compact"/>
              <w:jc w:val="left"/>
            </w:pPr>
            <w:r>
              <w:t xml:space="preserve">May 23, 2025</w:t>
            </w:r>
          </w:p>
        </w:tc>
        <w:tc>
          <w:tcPr/>
          <w:p>
            <w:pPr>
              <w:pStyle w:val="Compact"/>
              <w:jc w:val="left"/>
            </w:pPr>
            <w:r>
              <w:t xml:space="preserve">004</w:t>
            </w:r>
          </w:p>
        </w:tc>
        <w:tc>
          <w:tcPr/>
          <w:p>
            <w:pPr>
              <w:pStyle w:val="Compact"/>
              <w:jc w:val="left"/>
            </w:pPr>
            <w:r>
              <w:t xml:space="preserve">Attendance at pre-hearing mediation session before the TAT in Montreal, Canada. The Lawyer represented the client's interests, negotiated settlement terms, and provided real-time legal counsel. This Invoice item includes travel time within the Montreal metropolitan area and preparation for the mediation proceedings.</w:t>
            </w:r>
          </w:p>
        </w:tc>
        <w:tc>
          <w:tcPr/>
          <w:p>
            <w:pPr>
              <w:pStyle w:val="Compact"/>
              <w:jc w:val="left"/>
            </w:pPr>
            <w:r>
              <w:t xml:space="preserve">3.0</w:t>
            </w:r>
          </w:p>
        </w:tc>
        <w:tc>
          <w:tcPr/>
          <w:p>
            <w:pPr>
              <w:pStyle w:val="Compact"/>
              <w:jc w:val="left"/>
            </w:pPr>
            <w:r>
              <w:t xml:space="preserve">$750.00</w:t>
            </w:r>
          </w:p>
        </w:tc>
      </w:tr>
      <w:tr>
        <w:tc>
          <w:tcPr/>
          <w:p>
            <w:pPr>
              <w:pStyle w:val="Compact"/>
              <w:jc w:val="left"/>
            </w:pPr>
            <w:r>
              <w:t xml:space="preserve">May 30, 2025</w:t>
            </w:r>
          </w:p>
        </w:tc>
        <w:tc>
          <w:tcPr/>
          <w:p>
            <w:pPr>
              <w:pStyle w:val="Compact"/>
              <w:jc w:val="left"/>
            </w:pPr>
            <w:r>
              <w:t xml:space="preserve">005</w:t>
            </w:r>
          </w:p>
        </w:tc>
        <w:tc>
          <w:tcPr/>
          <w:p>
            <w:pPr>
              <w:pStyle w:val="Compact"/>
              <w:jc w:val="left"/>
            </w:pPr>
            <w:r>
              <w:t xml:space="preserve">Attendance at formal hearing before the Tribunal administratif du Québec, Montreal division. The Lawyer presented oral arguments, cross-examined the opposing party's witnesses, submitted documentary evidence, and delivered closing submissions on behalf of the client. Professional legal representation in Canada Montreal courts and tribunals.</w:t>
            </w:r>
          </w:p>
        </w:tc>
        <w:tc>
          <w:tcPr/>
          <w:p>
            <w:pPr>
              <w:pStyle w:val="Compact"/>
              <w:jc w:val="left"/>
            </w:pPr>
            <w:r>
              <w:t xml:space="preserve">5.0</w:t>
            </w:r>
          </w:p>
        </w:tc>
        <w:tc>
          <w:tcPr/>
          <w:p>
            <w:pPr>
              <w:pStyle w:val="Compact"/>
              <w:jc w:val="left"/>
            </w:pPr>
            <w:r>
              <w:t xml:space="preserve">$1,250.00</w:t>
            </w:r>
          </w:p>
        </w:tc>
      </w:tr>
      <w:tr>
        <w:tc>
          <w:tcPr/>
          <w:p>
            <w:pPr>
              <w:pStyle w:val="Compact"/>
              <w:jc w:val="left"/>
            </w:pPr>
            <w:r>
              <w:t xml:space="preserve">Jun 06, 2025</w:t>
            </w:r>
          </w:p>
        </w:tc>
        <w:tc>
          <w:tcPr/>
          <w:p>
            <w:pPr>
              <w:pStyle w:val="Compact"/>
              <w:jc w:val="left"/>
            </w:pPr>
            <w:r>
              <w:t xml:space="preserve">006</w:t>
            </w:r>
          </w:p>
        </w:tc>
        <w:tc>
          <w:tcPr/>
          <w:p>
            <w:pPr>
              <w:pStyle w:val="Compact"/>
              <w:jc w:val="left"/>
            </w:pPr>
            <w:r>
              <w:t xml:space="preserve">Post-hearing legal analysis, drafting of written submissions (mémorandum) to the Tribunal, and preparation of a comprehensive legal opinion letter to the client summarizing the outcome and recommended next steps. The Lawyer also reviewed the Tribunal's interim decision and assessed the need for further legal action.</w:t>
            </w:r>
          </w:p>
        </w:tc>
        <w:tc>
          <w:tcPr/>
          <w:p>
            <w:pPr>
              <w:pStyle w:val="Compact"/>
              <w:jc w:val="left"/>
            </w:pPr>
            <w:r>
              <w:t xml:space="preserve">2.5</w:t>
            </w:r>
          </w:p>
        </w:tc>
        <w:tc>
          <w:tcPr/>
          <w:p>
            <w:pPr>
              <w:pStyle w:val="Compact"/>
              <w:jc w:val="left"/>
            </w:pPr>
            <w:r>
              <w:t xml:space="preserve">$625.00</w:t>
            </w:r>
          </w:p>
        </w:tc>
      </w:tr>
      <w:tr>
        <w:tc>
          <w:tcPr/>
          <w:p>
            <w:pPr>
              <w:pStyle w:val="Compact"/>
              <w:jc w:val="left"/>
            </w:pPr>
            <w:r>
              <w:t xml:space="preserve">Jun 12, 2025</w:t>
            </w:r>
          </w:p>
        </w:tc>
        <w:tc>
          <w:tcPr/>
          <w:p>
            <w:pPr>
              <w:pStyle w:val="Compact"/>
              <w:jc w:val="left"/>
            </w:pPr>
            <w:r>
              <w:t xml:space="preserve">007</w:t>
            </w:r>
          </w:p>
        </w:tc>
        <w:tc>
          <w:tcPr/>
          <w:p>
            <w:pPr>
              <w:pStyle w:val="Compact"/>
              <w:jc w:val="left"/>
            </w:pPr>
            <w:r>
              <w:t xml:space="preserve">Administrative and clerical support: photocopying, courier services for document delivery to the TAT office in Montreal, Canada, filing fees, and correspondence management. These disbursements are billed at cost as per the standard fee agreement between the Lawyer and the client.</w:t>
            </w:r>
          </w:p>
        </w:tc>
        <w:tc>
          <w:tcPr/>
          <w:p>
            <w:pPr>
              <w:pStyle w:val="Compact"/>
              <w:jc w:val="left"/>
            </w:pPr>
            <w:r>
              <w:t xml:space="preserve">—</w:t>
            </w:r>
          </w:p>
        </w:tc>
        <w:tc>
          <w:tcPr/>
          <w:p>
            <w:pPr>
              <w:pStyle w:val="Compact"/>
              <w:jc w:val="left"/>
            </w:pPr>
            <w:r>
              <w:t xml:space="preserve">$187.50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(Professional Fees)</w:t>
            </w:r>
          </w:p>
        </w:tc>
        <w:tc>
          <w:tcPr/>
          <w:p>
            <w:pPr>
              <w:pStyle w:val="Compact"/>
              <w:jc w:val="right"/>
            </w:pPr>
            <w:r>
              <w:t xml:space="preserve">$4,625.00</w:t>
            </w:r>
          </w:p>
        </w:tc>
      </w:tr>
      <w:tr>
        <w:tc>
          <w:tcPr/>
          <w:p>
            <w:pPr>
              <w:pStyle w:val="Compact"/>
              <w:jc w:val="left"/>
            </w:pPr>
            <w:r>
              <w:t xml:space="preserve">Disbursements &amp; Expenses</w:t>
            </w:r>
          </w:p>
        </w:tc>
        <w:tc>
          <w:tcPr/>
          <w:p>
            <w:pPr>
              <w:pStyle w:val="Compact"/>
              <w:jc w:val="right"/>
            </w:pPr>
            <w:r>
              <w:t xml:space="preserve">$187.50</w:t>
            </w:r>
          </w:p>
        </w:tc>
      </w:tr>
      <w:tr>
        <w:tc>
          <w:tcPr/>
          <w:p>
            <w:pPr>
              <w:pStyle w:val="Compact"/>
              <w:jc w:val="left"/>
            </w:pPr>
            <w:r>
              <w:t xml:space="preserve">GST (5%)</w:t>
            </w:r>
          </w:p>
        </w:tc>
        <w:tc>
          <w:tcPr/>
          <w:p>
            <w:pPr>
              <w:pStyle w:val="Compact"/>
              <w:jc w:val="right"/>
            </w:pPr>
            <w:r>
              <w:t xml:space="preserve">$240.63</w:t>
            </w:r>
          </w:p>
        </w:tc>
      </w:tr>
      <w:tr>
        <w:tc>
          <w:tcPr/>
          <w:p>
            <w:pPr>
              <w:pStyle w:val="Compact"/>
              <w:jc w:val="left"/>
            </w:pPr>
            <w:r>
              <w:t xml:space="preserve">QST (9.975%)</w:t>
            </w:r>
          </w:p>
        </w:tc>
        <w:tc>
          <w:tcPr/>
          <w:p>
            <w:pPr>
              <w:pStyle w:val="Compact"/>
              <w:jc w:val="right"/>
            </w:pPr>
            <w:r>
              <w:t xml:space="preserve">$475.92</w:t>
            </w:r>
          </w:p>
        </w:tc>
      </w:tr>
      <w:tr>
        <w:tc>
          <w:tcPr/>
          <w:p>
            <w:pPr>
              <w:pStyle w:val="Compact"/>
              <w:jc w:val="left"/>
            </w:pPr>
            <w:r>
              <w:t xml:space="preserve">TOTAL AMOUNT DUE</w:t>
            </w:r>
          </w:p>
        </w:tc>
        <w:tc>
          <w:tcPr/>
          <w:p>
            <w:pPr>
              <w:pStyle w:val="Compact"/>
              <w:jc w:val="right"/>
            </w:pPr>
            <w:r>
              <w:t xml:space="preserve">$5,529.05</w:t>
            </w:r>
          </w:p>
        </w:tc>
      </w:tr>
    </w:tbl>
    <w:bookmarkStart w:id="23" w:name="payment-instructions"/>
    <w:p>
      <w:pPr>
        <w:pStyle w:val="Heading3"/>
      </w:pPr>
      <w:r>
        <w:t xml:space="preserve">Payment Instructions</w:t>
      </w:r>
    </w:p>
    <w:p>
      <w:pPr>
        <w:pStyle w:val="FirstParagraph"/>
      </w:pPr>
      <w:r>
        <w:t xml:space="preserve">This Invoice is payable within thirty (30) days of the date of issue. Please reference Invoice Number</w:t>
      </w:r>
      <w:r>
        <w:t xml:space="preserve"> </w:t>
      </w:r>
      <w:r>
        <w:rPr>
          <w:bCs/>
          <w:b/>
        </w:rPr>
        <w:t xml:space="preserve">INV-2025-00487</w:t>
      </w:r>
      <w:r>
        <w:t xml:space="preserve"> </w:t>
      </w:r>
      <w:r>
        <w:t xml:space="preserve">with your payment. The following payment methods are accepted by our law office in Montreal, Canada:</w:t>
      </w:r>
    </w:p>
    <w:p>
      <w:pPr>
        <w:numPr>
          <w:ilvl w:val="0"/>
          <w:numId w:val="1001"/>
        </w:numPr>
        <w:pStyle w:val="Compact"/>
      </w:pPr>
      <w:r>
        <w:rPr>
          <w:bCs/>
          <w:b/>
        </w:rPr>
        <w:t xml:space="preserve">Interac e-Transfer:</w:t>
      </w:r>
      <w:r>
        <w:t xml:space="preserve"> </w:t>
      </w:r>
      <w:r>
        <w:t xml:space="preserve">billing@beauchamp-tremblay.ca</w:t>
      </w:r>
    </w:p>
    <w:p>
      <w:pPr>
        <w:numPr>
          <w:ilvl w:val="0"/>
          <w:numId w:val="1001"/>
        </w:numPr>
        <w:pStyle w:val="Compact"/>
      </w:pPr>
      <w:r>
        <w:rPr>
          <w:bCs/>
          <w:b/>
        </w:rPr>
        <w:t xml:space="preserve">Bank Draft / Cheque:</w:t>
      </w:r>
      <w:r>
        <w:t xml:space="preserve"> </w:t>
      </w:r>
      <w:r>
        <w:t xml:space="preserve">Payable to "Beauchamp &amp; Tremblay LLP", mailed to our Montreal office address listed above.</w:t>
      </w:r>
    </w:p>
    <w:p>
      <w:pPr>
        <w:numPr>
          <w:ilvl w:val="0"/>
          <w:numId w:val="1001"/>
        </w:numPr>
        <w:pStyle w:val="Compact"/>
      </w:pPr>
      <w:r>
        <w:rPr>
          <w:bCs/>
          <w:b/>
        </w:rPr>
        <w:t xml:space="preserve">Online Payment:</w:t>
      </w:r>
      <w:r>
        <w:t xml:space="preserve"> </w:t>
      </w:r>
      <w:r>
        <w:t xml:space="preserve">Via secure portal at www.beauchamp-tremblay.ca/payments</w:t>
      </w:r>
    </w:p>
    <w:p>
      <w:pPr>
        <w:numPr>
          <w:ilvl w:val="0"/>
          <w:numId w:val="1001"/>
        </w:numPr>
        <w:pStyle w:val="Compact"/>
      </w:pPr>
      <w:r>
        <w:t xml:space="preserve">Lawyer's Trust Account (Compte de fiducie):strong&gt; For retainer payments only. Institution: Desjardins, Account: 1234-5678-9012</w:t>
      </w:r>
    </w:p>
    <w:p>
      <w:pPr>
        <w:pStyle w:val="FirstParagraph"/>
      </w:pPr>
      <w:r>
        <w:t xml:space="preserve">* A late payment interest of 1.5% per month will be applied to any balance remaining unpaid after the due date, in accordance with the</w:t>
      </w:r>
      <w:r>
        <w:t xml:space="preserve"> </w:t>
      </w:r>
      <w:r>
        <w:rPr>
          <w:iCs/>
          <w:i/>
        </w:rPr>
        <w:t xml:space="preserve">Code de déontologie des avocats</w:t>
      </w:r>
      <w:r>
        <w:t xml:space="preserve"> </w:t>
      </w:r>
      <w:r>
        <w:t xml:space="preserve">of the Barreau du Québec.</w:t>
      </w:r>
    </w:p>
    <w:bookmarkEnd w:id="23"/>
    <w:bookmarkStart w:id="24" w:name="important-notes-terms"/>
    <w:p>
      <w:pPr>
        <w:pStyle w:val="Heading3"/>
      </w:pPr>
      <w:r>
        <w:t xml:space="preserve">Important Notes &amp; Terms</w:t>
      </w:r>
    </w:p>
    <w:p>
      <w:pPr>
        <w:numPr>
          <w:ilvl w:val="0"/>
          <w:numId w:val="1002"/>
        </w:numPr>
        <w:pStyle w:val="Compact"/>
      </w:pPr>
      <w:r>
        <w:t xml:space="preserve">This Invoice has been prepared in accordance with the professional fee standards established by the Barreau du Québec and the applicable regulations governing legal services in Canada Montreal and the Province of Quebec.</w:t>
      </w:r>
    </w:p>
    <w:p>
      <w:pPr>
        <w:numPr>
          <w:ilvl w:val="0"/>
          <w:numId w:val="1002"/>
        </w:numPr>
        <w:pStyle w:val="Compact"/>
      </w:pPr>
      <w:r>
        <w:t xml:space="preserve">The hourly rate of $250.00 CAD applied in this Invoice reflects the standard billing rate for a senior Lawyer (barrister and solicitor) with over fifteen years of practice in civil and administrative law in Montreal, Canada.</w:t>
      </w:r>
    </w:p>
    <w:p>
      <w:pPr>
        <w:numPr>
          <w:ilvl w:val="0"/>
          <w:numId w:val="1002"/>
        </w:numPr>
        <w:pStyle w:val="Compact"/>
      </w:pPr>
      <w:r>
        <w:t xml:space="preserve">All tax amounts (GST and QST) have been calculated in compliance with the</w:t>
      </w:r>
      <w:r>
        <w:t xml:space="preserve"> </w:t>
      </w:r>
      <w:r>
        <w:rPr>
          <w:iCs/>
          <w:i/>
        </w:rPr>
        <w:t xml:space="preserve">Loi sur la taxe d'accise</w:t>
      </w:r>
      <w:r>
        <w:t xml:space="preserve"> </w:t>
      </w:r>
      <w:r>
        <w:t xml:space="preserve">and the</w:t>
      </w:r>
      <w:r>
        <w:t xml:space="preserve"> </w:t>
      </w:r>
      <w:r>
        <w:rPr>
          <w:iCs/>
          <w:i/>
        </w:rPr>
        <w:t xml:space="preserve">Loi sur la taxe de vente du Québec</w:t>
      </w:r>
      <w:r>
        <w:t xml:space="preserve">. As a registered business in Canada Montreal, our firm is required to collect and remit these taxes on professional legal services.</w:t>
      </w:r>
    </w:p>
    <w:p>
      <w:pPr>
        <w:numPr>
          <w:ilvl w:val="0"/>
          <w:numId w:val="1002"/>
        </w:numPr>
        <w:pStyle w:val="Compact"/>
      </w:pPr>
      <w:r>
        <w:t xml:space="preserve">This Invoice constitutes a formal accounting of all legal services rendered by the Lawyer and the firm up to the date of issue. Should additional services be required, a supplementary Invoice will be issued separately.</w:t>
      </w:r>
    </w:p>
    <w:p>
      <w:pPr>
        <w:numPr>
          <w:ilvl w:val="0"/>
          <w:numId w:val="1002"/>
        </w:numPr>
        <w:pStyle w:val="Compact"/>
      </w:pPr>
      <w:r>
        <w:t xml:space="preserve">The client is advised to retain this Invoice for their personal tax records. Legal fees may be eligible for certain tax deductions or credits under the Income Tax Act (Canada) and the</w:t>
      </w:r>
      <w:r>
        <w:t xml:space="preserve"> </w:t>
      </w:r>
      <w:r>
        <w:rPr>
          <w:iCs/>
          <w:i/>
        </w:rPr>
        <w:t xml:space="preserve">Loi de l'impôt sur le revenu</w:t>
      </w:r>
      <w:r>
        <w:t xml:space="preserve"> </w:t>
      </w:r>
      <w:r>
        <w:t xml:space="preserve">(Québec), subject to applicable conditions.</w:t>
      </w:r>
    </w:p>
    <w:p>
      <w:pPr>
        <w:numPr>
          <w:ilvl w:val="0"/>
          <w:numId w:val="1002"/>
        </w:numPr>
        <w:pStyle w:val="Compact"/>
      </w:pPr>
      <w:r>
        <w:t xml:space="preserve">Any dispute regarding the amounts stated in this Invoice should be directed to the undersigned Lawyer within fifteen (15) business days of receipt. The firm is committed to transparent and fair billing practices in accordance with the professional code of ethics in Canada Montreal.</w:t>
      </w:r>
    </w:p>
    <w:p>
      <w:pPr>
        <w:numPr>
          <w:ilvl w:val="0"/>
          <w:numId w:val="1002"/>
        </w:numPr>
        <w:pStyle w:val="Compact"/>
      </w:pPr>
      <w:r>
        <w:t xml:space="preserve">This document is the official Invoice for the legal services described herein. It is not a contract for future services unless explicitly stated in a separate written retainer agreement.</w:t>
      </w:r>
    </w:p>
    <w:bookmarkEnd w:id="24"/>
    <w:p>
      <w:pPr>
        <w:pStyle w:val="FirstParagraph"/>
      </w:pPr>
      <w:r>
        <w:rPr>
          <w:bCs/>
          <w:b/>
        </w:rPr>
        <w:t xml:space="preserve">Beauchamp &amp; Tremblay LLP</w:t>
      </w:r>
      <w:r>
        <w:t xml:space="preserve"> </w:t>
      </w:r>
      <w:r>
        <w:t xml:space="preserve">— A Law Firm in Montreal, Canada</w:t>
      </w:r>
    </w:p>
    <w:p>
      <w:pPr>
        <w:pStyle w:val="BodyText"/>
      </w:pPr>
      <w:r>
        <w:t xml:space="preserve">Member of the Barreau du Québec | Registered in Canada and the Province of Quebec</w:t>
      </w:r>
    </w:p>
    <w:p>
      <w:pPr>
        <w:pStyle w:val="BodyText"/>
      </w:pPr>
      <w:r>
        <w:t xml:space="preserve">This Invoice was generated electronically and is valid without a physical signature. For verification, contact our billing department at (514) 555-0192.</w:t>
      </w:r>
    </w:p>
    <w:p>
      <w:pPr>
        <w:pStyle w:val="BodyText"/>
      </w:pPr>
      <w:r>
        <w:t xml:space="preserve">© 2025 Beauchamp &amp; Tremblay LLP. All rights reserved. | Invoice INV-2025-00487 | 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Legal Invoice - Montreal, Canada</dc:title>
  <dc:creator/>
  <dc:language>en</dc:language>
  <cp:keywords/>
  <dcterms:created xsi:type="dcterms:W3CDTF">2026-10-10T09:10:41Z</dcterms:created>
  <dcterms:modified xsi:type="dcterms:W3CDTF">2026-10-10T09:10:41Z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