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Vancouver,</w:t>
      </w:r>
      <w:r>
        <w:t xml:space="preserve"> </w:t>
      </w:r>
      <w:r>
        <w:t xml:space="preserve">Canada</w:t>
      </w:r>
    </w:p>
    <w:bookmarkStart w:id="20" w:name="invoice"/>
    <w:p>
      <w:pPr>
        <w:pStyle w:val="Heading1"/>
      </w:pPr>
      <w:r>
        <w:t xml:space="preserve">INVOICE</w:t>
      </w:r>
    </w:p>
    <w:p>
      <w:pPr>
        <w:pStyle w:val="FirstParagraph"/>
      </w:pPr>
      <w:r>
        <w:t xml:space="preserve">Harbour &amp; Sterling Law LLP</w:t>
      </w:r>
    </w:p>
    <w:p>
      <w:pPr>
        <w:pStyle w:val="BodyText"/>
      </w:pPr>
      <w:r>
        <w:t xml:space="preserve">1200 West Georgia Street, Suite 2400</w:t>
      </w:r>
      <w:r>
        <w:br/>
      </w:r>
      <w:r>
        <w:t xml:space="preserve">Vancouver, British Columbia, Canada V6E 4R2</w:t>
      </w:r>
      <w:r>
        <w:br/>
      </w:r>
      <w:r>
        <w:t xml:space="preserve">Telephone: (604) 555-0187  |  Fax: (604) 555-0188</w:t>
      </w:r>
      <w:r>
        <w:br/>
      </w:r>
      <w:r>
        <w:t xml:space="preserve">Email: billing@harboursterling.ca</w:t>
      </w:r>
      <w:r>
        <w:br/>
      </w:r>
      <w:r>
        <w:t xml:space="preserve">Law Society of British Columbia – License No. BC-2019-44782</w:t>
      </w:r>
    </w:p>
    <w:bookmarkEnd w:id="20"/>
    <w:p>
      <w:pPr>
        <w:pStyle w:val="BodyText"/>
      </w:pPr>
      <w:r>
        <w:rPr>
          <w:bCs/>
          <w:b/>
        </w:rPr>
        <w:t xml:space="preserve">Invoice Number:</w:t>
      </w:r>
      <w:r>
        <w:t xml:space="preserve"> </w:t>
      </w:r>
      <w:r>
        <w:t xml:space="preserve">INV-2025-00347</w:t>
      </w:r>
      <w:r>
        <w:br/>
      </w:r>
      <w:r>
        <w:rPr>
          <w:bCs/>
          <w:b/>
        </w:rPr>
        <w:t xml:space="preserve">Invoice Date:</w:t>
      </w:r>
      <w:r>
        <w:t xml:space="preserve"> </w:t>
      </w:r>
      <w:r>
        <w:t xml:space="preserve">June 12, 2025</w:t>
      </w:r>
      <w:r>
        <w:br/>
      </w:r>
      <w:r>
        <w:rPr>
          <w:bCs/>
          <w:b/>
        </w:rPr>
        <w:t xml:space="preserve">Due Date:</w:t>
      </w:r>
      <w:r>
        <w:t xml:space="preserve"> </w:t>
      </w:r>
      <w:r>
        <w:t xml:space="preserve">July 12, 2025</w:t>
      </w:r>
      <w:r>
        <w:br/>
      </w:r>
      <w:r>
        <w:rPr>
          <w:bCs/>
          <w:b/>
        </w:rPr>
        <w:t xml:space="preserve">Payment Terms:</w:t>
      </w:r>
      <w:r>
        <w:t xml:space="preserve"> </w:t>
      </w:r>
      <w:r>
        <w:t xml:space="preserve">Net 30 Days</w:t>
      </w:r>
    </w:p>
    <w:p>
      <w:pPr>
        <w:pStyle w:val="BodyText"/>
      </w:pPr>
      <w:r>
        <w:rPr>
          <w:bCs/>
          <w:b/>
        </w:rPr>
        <w:t xml:space="preserve">Client Name:</w:t>
      </w:r>
      <w:r>
        <w:t xml:space="preserve"> </w:t>
      </w:r>
      <w:r>
        <w:t xml:space="preserve">Mr. Jonathan R. Whitfield</w:t>
      </w:r>
      <w:r>
        <w:br/>
      </w:r>
      <w:r>
        <w:rPr>
          <w:bCs/>
          <w:b/>
        </w:rPr>
        <w:t xml:space="preserve">Client Address:</w:t>
      </w:r>
      <w:r>
        <w:t xml:space="preserve"> </w:t>
      </w:r>
      <w:r>
        <w:t xml:space="preserve">847 Oakridge Avenue, Unit 12</w:t>
      </w:r>
      <w:r>
        <w:br/>
      </w:r>
      <w:r>
        <w:t xml:space="preserve">Vancouver, British Columbia, Canada V6H 3A1</w:t>
      </w:r>
      <w:r>
        <w:br/>
      </w:r>
      <w:r>
        <w:rPr>
          <w:bCs/>
          <w:b/>
        </w:rPr>
        <w:t xml:space="preserve">Client Phone:</w:t>
      </w:r>
      <w:r>
        <w:t xml:space="preserve"> </w:t>
      </w:r>
      <w:r>
        <w:t xml:space="preserve">(604) 555-2293</w:t>
      </w:r>
      <w:r>
        <w:br/>
      </w:r>
      <w:r>
        <w:rPr>
          <w:bCs/>
          <w:b/>
        </w:rPr>
        <w:t xml:space="preserve">Client Email:</w:t>
      </w:r>
      <w:r>
        <w:t xml:space="preserve"> </w:t>
      </w:r>
      <w:r>
        <w:t xml:space="preserve">j.whitfield@email.ca</w:t>
      </w:r>
    </w:p>
    <w:p>
      <w:pPr>
        <w:pStyle w:val="BodyText"/>
      </w:pPr>
      <w:r>
        <w:t xml:space="preserve">BILLING SUMMARY – LEGAL SERVICES RENDERED</w:t>
      </w:r>
    </w:p>
    <w:p>
      <w:pPr>
        <w:pStyle w:val="BodyText"/>
      </w:pPr>
      <w:r>
        <w:t xml:space="preserve">This Invoice is issued by the undersigned Lawyer at Harbour &amp; Sterling Law LLP, a licensed legal practice operating in Canada Vancouver, in accordance with the professional billing standards established by the Law Society of British Columbia. All services described below were performed on behalf of the client in connection with the matter referenced as</w:t>
      </w:r>
      <w:r>
        <w:t xml:space="preserve"> </w:t>
      </w:r>
      <w:r>
        <w:rPr>
          <w:bCs/>
          <w:b/>
        </w:rPr>
        <w:t xml:space="preserve">File No. 2025-CV-1189 – Whitfield v. Pacific Coast Properties Inc.</w:t>
      </w:r>
      <w:r>
        <w:t xml:space="preserve"> </w:t>
      </w:r>
      <w:r>
        <w:t xml:space="preserve">The Lawyer responsible for this engagement is</w:t>
      </w:r>
      <w:r>
        <w:t xml:space="preserve"> </w:t>
      </w:r>
      <w:r>
        <w:rPr>
          <w:bCs/>
          <w:b/>
        </w:rPr>
        <w:t xml:space="preserve">Ms. Catherine M. Harbour, Barrister &amp; Solicitor</w:t>
      </w:r>
      <w:r>
        <w:t xml:space="preserve">, who has been retained to provide comprehensive legal counsel, litigation support, and advisory services within the jurisdiction of Canada Vancouver and the Province of British Columbia.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Time</w:t>
            </w:r>
          </w:p>
        </w:tc>
        <w:tc>
          <w:tcPr/>
          <w:p>
            <w:pPr>
              <w:pStyle w:val="Compact"/>
              <w:jc w:val="left"/>
            </w:pPr>
            <w:r>
              <w:t xml:space="preserve">Description of Legal Services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May 02, 2025</w:t>
            </w:r>
          </w:p>
        </w:tc>
        <w:tc>
          <w:tcPr/>
          <w:p>
            <w:pPr>
              <w:pStyle w:val="Compact"/>
              <w:jc w:val="left"/>
            </w:pPr>
            <w:r>
              <w:t xml:space="preserve">09:00 – 11:30</w:t>
            </w:r>
          </w:p>
        </w:tc>
        <w:tc>
          <w:tcPr/>
          <w:p>
            <w:pPr>
              <w:pStyle w:val="Compact"/>
              <w:jc w:val="left"/>
            </w:pPr>
            <w:r>
              <w:t xml:space="preserve">Initial consultation and case assessment. The Lawyer reviewed all documentation provided by the client regarding the disputed commercial lease agreement with Pacific Coast Properties Inc. Prepared a preliminary legal strategy memorandum outlining potential claims under the British Columbia Commercial Tenancy Act and applicable common law principles in Canada Vancouver.</w:t>
            </w:r>
          </w:p>
        </w:tc>
        <w:tc>
          <w:tcPr/>
          <w:p>
            <w:pPr>
              <w:pStyle w:val="Compact"/>
              <w:jc w:val="left"/>
            </w:pPr>
            <w:r>
              <w:t xml:space="preserve">2.5</w:t>
            </w:r>
          </w:p>
        </w:tc>
        <w:tc>
          <w:tcPr/>
          <w:p>
            <w:pPr>
              <w:pStyle w:val="Compact"/>
              <w:jc w:val="left"/>
            </w:pPr>
            <w:r>
              <w:t xml:space="preserve">$325.00</w:t>
            </w:r>
          </w:p>
        </w:tc>
        <w:tc>
          <w:tcPr/>
          <w:p>
            <w:pPr>
              <w:pStyle w:val="Compact"/>
              <w:jc w:val="left"/>
            </w:pPr>
            <w:r>
              <w:t xml:space="preserve">$812.50</w:t>
            </w:r>
          </w:p>
        </w:tc>
      </w:tr>
      <w:tr>
        <w:tc>
          <w:tcPr/>
          <w:p>
            <w:pPr>
              <w:pStyle w:val="Compact"/>
              <w:jc w:val="left"/>
            </w:pPr>
            <w:r>
              <w:t xml:space="preserve">May 09, 2025</w:t>
            </w:r>
          </w:p>
        </w:tc>
        <w:tc>
          <w:tcPr/>
          <w:p>
            <w:pPr>
              <w:pStyle w:val="Compact"/>
              <w:jc w:val="left"/>
            </w:pPr>
            <w:r>
              <w:t xml:space="preserve">10:00 – 12:00</w:t>
            </w:r>
          </w:p>
        </w:tc>
        <w:tc>
          <w:tcPr/>
          <w:p>
            <w:pPr>
              <w:pStyle w:val="Compact"/>
              <w:jc w:val="left"/>
            </w:pPr>
            <w:r>
              <w:t xml:space="preserve">Drafting and filing of a Statement of Claim in the Supreme Court of British Columbia, Vancouver Registry. The Lawyer prepared all necessary pleadings, verified the jurisdictional requirements, and electronically filed the documents through the BC eCourts system. Included preparation of the Notice of Civil Claim and supporting affidavits.</w:t>
            </w:r>
          </w:p>
        </w:tc>
        <w:tc>
          <w:tcPr/>
          <w:p>
            <w:pPr>
              <w:pStyle w:val="Compact"/>
              <w:jc w:val="left"/>
            </w:pPr>
            <w:r>
              <w:t xml:space="preserve">2.0</w:t>
            </w:r>
          </w:p>
        </w:tc>
        <w:tc>
          <w:tcPr/>
          <w:p>
            <w:pPr>
              <w:pStyle w:val="Compact"/>
              <w:jc w:val="left"/>
            </w:pPr>
            <w:r>
              <w:t xml:space="preserve">$325.00</w:t>
            </w:r>
          </w:p>
        </w:tc>
        <w:tc>
          <w:tcPr/>
          <w:p>
            <w:pPr>
              <w:pStyle w:val="Compact"/>
              <w:jc w:val="left"/>
            </w:pPr>
            <w:r>
              <w:t xml:space="preserve">$650.00</w:t>
            </w:r>
          </w:p>
        </w:tc>
      </w:tr>
      <w:tr>
        <w:tc>
          <w:tcPr/>
          <w:p>
            <w:pPr>
              <w:pStyle w:val="Compact"/>
              <w:jc w:val="left"/>
            </w:pPr>
            <w:r>
              <w:t xml:space="preserve">May 16, 2025</w:t>
            </w:r>
          </w:p>
        </w:tc>
        <w:tc>
          <w:tcPr/>
          <w:p>
            <w:pPr>
              <w:pStyle w:val="Compact"/>
              <w:jc w:val="left"/>
            </w:pPr>
            <w:r>
              <w:t xml:space="preserve">14:00 – 16:30</w:t>
            </w:r>
          </w:p>
        </w:tc>
        <w:tc>
          <w:tcPr/>
          <w:p>
            <w:pPr>
              <w:pStyle w:val="Compact"/>
              <w:jc w:val="left"/>
            </w:pPr>
            <w:r>
              <w:t xml:space="preserve">Discovery preparation and document review. The Lawyer conducted a thorough review of 340 pages of production documents received from opposing counsel. Identified key admissions and inconsistencies. Prepared a detailed privilege log and a summary of responsive documents for the client's review. Met with the client via video conference to discuss discovery strategy.</w:t>
            </w:r>
          </w:p>
        </w:tc>
        <w:tc>
          <w:tcPr/>
          <w:p>
            <w:pPr>
              <w:pStyle w:val="Compact"/>
              <w:jc w:val="left"/>
            </w:pPr>
            <w:r>
              <w:t xml:space="preserve">2.5</w:t>
            </w:r>
          </w:p>
        </w:tc>
        <w:tc>
          <w:tcPr/>
          <w:p>
            <w:pPr>
              <w:pStyle w:val="Compact"/>
              <w:jc w:val="left"/>
            </w:pPr>
            <w:r>
              <w:t xml:space="preserve">$325.00</w:t>
            </w:r>
          </w:p>
        </w:tc>
        <w:tc>
          <w:tcPr/>
          <w:p>
            <w:pPr>
              <w:pStyle w:val="Compact"/>
              <w:jc w:val="left"/>
            </w:pPr>
            <w:r>
              <w:t xml:space="preserve">$812.50</w:t>
            </w:r>
          </w:p>
        </w:tc>
      </w:tr>
      <w:tr>
        <w:tc>
          <w:tcPr/>
          <w:p>
            <w:pPr>
              <w:pStyle w:val="Compact"/>
              <w:jc w:val="left"/>
            </w:pPr>
            <w:r>
              <w:t xml:space="preserve">May 23, 2025</w:t>
            </w:r>
          </w:p>
        </w:tc>
        <w:tc>
          <w:tcPr/>
          <w:p>
            <w:pPr>
              <w:pStyle w:val="Compact"/>
              <w:jc w:val="left"/>
            </w:pPr>
            <w:r>
              <w:t xml:space="preserve">09:30 – 11:00</w:t>
            </w:r>
          </w:p>
        </w:tc>
        <w:tc>
          <w:tcPr/>
          <w:p>
            <w:pPr>
              <w:pStyle w:val="Compact"/>
              <w:jc w:val="left"/>
            </w:pPr>
            <w:r>
              <w:t xml:space="preserve">Preparation and service of a Notice of Motion for an interlocutory injunction. The Lawyer drafted the motion, supporting affidavit, and proposed order seeking to prevent the defendant from altering the leased premises pending resolution of the dispute. Coordinated with the court registrar in Vancouver to schedule the hearing date.</w:t>
            </w:r>
          </w:p>
        </w:tc>
        <w:tc>
          <w:tcPr/>
          <w:p>
            <w:pPr>
              <w:pStyle w:val="Compact"/>
              <w:jc w:val="left"/>
            </w:pPr>
            <w:r>
              <w:t xml:space="preserve">1.5</w:t>
            </w:r>
          </w:p>
        </w:tc>
        <w:tc>
          <w:tcPr/>
          <w:p>
            <w:pPr>
              <w:pStyle w:val="Compact"/>
              <w:jc w:val="left"/>
            </w:pPr>
            <w:r>
              <w:t xml:space="preserve">$325.00</w:t>
            </w:r>
          </w:p>
        </w:tc>
        <w:tc>
          <w:tcPr/>
          <w:p>
            <w:pPr>
              <w:pStyle w:val="Compact"/>
              <w:jc w:val="left"/>
            </w:pPr>
            <w:r>
              <w:t xml:space="preserve">$487.50</w:t>
            </w:r>
          </w:p>
        </w:tc>
      </w:tr>
      <w:tr>
        <w:tc>
          <w:tcPr/>
          <w:p>
            <w:pPr>
              <w:pStyle w:val="Compact"/>
              <w:jc w:val="left"/>
            </w:pPr>
            <w:r>
              <w:t xml:space="preserve">May 30, 2025</w:t>
            </w:r>
          </w:p>
        </w:tc>
        <w:tc>
          <w:tcPr/>
          <w:p>
            <w:pPr>
              <w:pStyle w:val="Compact"/>
              <w:jc w:val="left"/>
            </w:pPr>
            <w:r>
              <w:t xml:space="preserve">10:00 – 15:30</w:t>
            </w:r>
          </w:p>
        </w:tc>
        <w:tc>
          <w:tcPr/>
          <w:p>
            <w:pPr>
              <w:pStyle w:val="Compact"/>
              <w:jc w:val="left"/>
            </w:pPr>
            <w:r>
              <w:t xml:space="preserve">Appearance at the Supreme Court of British Columbia, Vancouver, for the hearing of the Notice of Motion. The Lawyer presented oral arguments on behalf of the client, cross-examined the defendant's witness, and made submissions on the balance of convenience test. Post-hearing, prepared a written summary of the judge's ruling and advised the client on next steps.</w:t>
            </w:r>
          </w:p>
        </w:tc>
        <w:tc>
          <w:tcPr/>
          <w:p>
            <w:pPr>
              <w:pStyle w:val="Compact"/>
              <w:jc w:val="left"/>
            </w:pPr>
            <w:r>
              <w:t xml:space="preserve">5.5</w:t>
            </w:r>
          </w:p>
        </w:tc>
        <w:tc>
          <w:tcPr/>
          <w:p>
            <w:pPr>
              <w:pStyle w:val="Compact"/>
              <w:jc w:val="left"/>
            </w:pPr>
            <w:r>
              <w:t xml:space="preserve">$325.00</w:t>
            </w:r>
          </w:p>
        </w:tc>
        <w:tc>
          <w:tcPr/>
          <w:p>
            <w:pPr>
              <w:pStyle w:val="Compact"/>
              <w:jc w:val="left"/>
            </w:pPr>
            <w:r>
              <w:t xml:space="preserve">$1,787.50</w:t>
            </w:r>
          </w:p>
        </w:tc>
      </w:tr>
      <w:tr>
        <w:tc>
          <w:tcPr/>
          <w:p>
            <w:pPr>
              <w:pStyle w:val="Compact"/>
              <w:jc w:val="left"/>
            </w:pPr>
            <w:r>
              <w:t xml:space="preserve">Jun 06, 2025</w:t>
            </w:r>
          </w:p>
        </w:tc>
        <w:tc>
          <w:tcPr/>
          <w:p>
            <w:pPr>
              <w:pStyle w:val="Compact"/>
              <w:jc w:val="left"/>
            </w:pPr>
            <w:r>
              <w:t xml:space="preserve">13:00 – 14:30</w:t>
            </w:r>
          </w:p>
        </w:tc>
        <w:tc>
          <w:tcPr/>
          <w:p>
            <w:pPr>
              <w:pStyle w:val="Compact"/>
              <w:jc w:val="left"/>
            </w:pPr>
            <w:r>
              <w:t xml:space="preserve">Settlement negotiations. The Lawyer participated in a three-way telephone conference with opposing counsel and the client to discuss settlement terms. Drafted a Term Sheet outlining proposed resolution including monetary compensation, lease termination provisions, and mutual release of claims. Reviewed and annotated the defendant's counter-proposal.</w:t>
            </w:r>
          </w:p>
        </w:tc>
        <w:tc>
          <w:tcPr/>
          <w:p>
            <w:pPr>
              <w:pStyle w:val="Compact"/>
              <w:jc w:val="left"/>
            </w:pPr>
            <w:r>
              <w:t xml:space="preserve">1.5</w:t>
            </w:r>
          </w:p>
        </w:tc>
        <w:tc>
          <w:tcPr/>
          <w:p>
            <w:pPr>
              <w:pStyle w:val="Compact"/>
              <w:jc w:val="left"/>
            </w:pPr>
            <w:r>
              <w:t xml:space="preserve">$325.00</w:t>
            </w:r>
          </w:p>
        </w:tc>
        <w:tc>
          <w:tcPr/>
          <w:p>
            <w:pPr>
              <w:pStyle w:val="Compact"/>
              <w:jc w:val="left"/>
            </w:pPr>
            <w:r>
              <w:t xml:space="preserve">$487.50</w:t>
            </w:r>
          </w:p>
        </w:tc>
      </w:tr>
      <w:tr>
        <w:tc>
          <w:tcPr/>
          <w:p>
            <w:pPr>
              <w:pStyle w:val="Compact"/>
              <w:jc w:val="left"/>
            </w:pPr>
            <w:r>
              <w:t xml:space="preserve">Jun 10, 2025</w:t>
            </w:r>
          </w:p>
        </w:tc>
        <w:tc>
          <w:tcPr/>
          <w:p>
            <w:pPr>
              <w:pStyle w:val="Compact"/>
              <w:jc w:val="left"/>
            </w:pPr>
            <w:r>
              <w:t xml:space="preserve">09:00 – 10:30</w:t>
            </w:r>
          </w:p>
        </w:tc>
        <w:tc>
          <w:tcPr/>
          <w:p>
            <w:pPr>
              <w:pStyle w:val="Compact"/>
              <w:jc w:val="left"/>
            </w:pPr>
            <w:r>
              <w:t xml:space="preserve">Final review and execution of the Settlement Agreement. The Lawyer conducted a final legal review of the executed Settlement Agreement, confirmed compliance with all applicable laws in Canada Vancouver, and prepared a closing memorandum for the client's records. Advised the client on tax implications and recommended filing a Notice of Discontinuance with the court.</w:t>
            </w:r>
          </w:p>
        </w:tc>
        <w:tc>
          <w:tcPr/>
          <w:p>
            <w:pPr>
              <w:pStyle w:val="Compact"/>
              <w:jc w:val="left"/>
            </w:pPr>
            <w:r>
              <w:t xml:space="preserve">1.5</w:t>
            </w:r>
          </w:p>
        </w:tc>
        <w:tc>
          <w:tcPr/>
          <w:p>
            <w:pPr>
              <w:pStyle w:val="Compact"/>
              <w:jc w:val="left"/>
            </w:pPr>
            <w:r>
              <w:t xml:space="preserve">$325.00</w:t>
            </w:r>
          </w:p>
        </w:tc>
        <w:tc>
          <w:tcPr/>
          <w:p>
            <w:pPr>
              <w:pStyle w:val="Compact"/>
              <w:jc w:val="left"/>
            </w:pPr>
            <w:r>
              <w:t xml:space="preserve">$487.50</w:t>
            </w:r>
          </w:p>
        </w:tc>
      </w:tr>
    </w:tbl>
    <w:p>
      <w:pPr>
        <w:pStyle w:val="BodyText"/>
      </w:pPr>
      <w:r>
        <w:t xml:space="preserve">DISBURSEMENTS AND COURT FEES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Date</w:t>
            </w:r>
          </w:p>
        </w:tc>
        <w:tc>
          <w:tcPr/>
          <w:p>
            <w:pPr>
              <w:pStyle w:val="Compact"/>
              <w:jc w:val="left"/>
            </w:pPr>
            <w:r>
              <w:t xml:space="preserve">Description</w:t>
            </w:r>
          </w:p>
        </w:tc>
        <w:tc>
          <w:tcPr/>
          <w:p>
            <w:pPr>
              <w:pStyle w:val="Compact"/>
              <w:jc w:val="left"/>
            </w:pPr>
            <w:r>
              <w:t xml:space="preserve">Amount (CAD)</w:t>
            </w:r>
          </w:p>
        </w:tc>
      </w:tr>
      <w:tr>
        <w:tc>
          <w:tcPr/>
          <w:p>
            <w:pPr>
              <w:pStyle w:val="Compact"/>
              <w:jc w:val="left"/>
            </w:pPr>
            <w:r>
              <w:t xml:space="preserve">May 09, 2025</w:t>
            </w:r>
          </w:p>
        </w:tc>
        <w:tc>
          <w:tcPr/>
          <w:p>
            <w:pPr>
              <w:pStyle w:val="Compact"/>
              <w:jc w:val="left"/>
            </w:pPr>
            <w:r>
              <w:t xml:space="preserve">Supreme Court of British Columbia – Filing fee for Statement of Claim (Vancouver Registry)</w:t>
            </w:r>
          </w:p>
        </w:tc>
        <w:tc>
          <w:tcPr/>
          <w:p>
            <w:pPr>
              <w:pStyle w:val="Compact"/>
              <w:jc w:val="left"/>
            </w:pPr>
            <w:r>
              <w:t xml:space="preserve">$430.00</w:t>
            </w:r>
          </w:p>
        </w:tc>
      </w:tr>
      <w:tr>
        <w:tc>
          <w:tcPr/>
          <w:p>
            <w:pPr>
              <w:pStyle w:val="Compact"/>
              <w:jc w:val="left"/>
            </w:pPr>
            <w:r>
              <w:t xml:space="preserve">May 23, 2025</w:t>
            </w:r>
          </w:p>
        </w:tc>
        <w:tc>
          <w:tcPr/>
          <w:p>
            <w:pPr>
              <w:pStyle w:val="Compact"/>
              <w:jc w:val="left"/>
            </w:pPr>
            <w:r>
              <w:t xml:space="preserve">Supreme Court of British Columbia – Filing fee for Notice of Motion and proposed order</w:t>
            </w:r>
          </w:p>
        </w:tc>
        <w:tc>
          <w:tcPr/>
          <w:p>
            <w:pPr>
              <w:pStyle w:val="Compact"/>
              <w:jc w:val="left"/>
            </w:pPr>
            <w:r>
              <w:t xml:space="preserve">$215.00</w:t>
            </w:r>
          </w:p>
        </w:tc>
      </w:tr>
      <w:tr>
        <w:tc>
          <w:tcPr/>
          <w:p>
            <w:pPr>
              <w:pStyle w:val="Compact"/>
              <w:jc w:val="left"/>
            </w:pPr>
            <w:r>
              <w:t xml:space="preserve">May 16, 2025</w:t>
            </w:r>
          </w:p>
        </w:tc>
        <w:tc>
          <w:tcPr/>
          <w:p>
            <w:pPr>
              <w:pStyle w:val="Compact"/>
              <w:jc w:val="left"/>
            </w:pPr>
            <w:r>
              <w:t xml:space="preserve">Document copying and printing (340 pages, double-sided, legal pad format)</w:t>
            </w:r>
          </w:p>
        </w:tc>
        <w:tc>
          <w:tcPr/>
          <w:p>
            <w:pPr>
              <w:pStyle w:val="Compact"/>
              <w:jc w:val="left"/>
            </w:pPr>
            <w:r>
              <w:t xml:space="preserve">$87.00</w:t>
            </w:r>
          </w:p>
        </w:tc>
      </w:tr>
      <w:tr>
        <w:tc>
          <w:tcPr/>
          <w:p>
            <w:pPr>
              <w:pStyle w:val="Compact"/>
              <w:jc w:val="left"/>
            </w:pPr>
            <w:r>
              <w:t xml:space="preserve">May 30, 2025</w:t>
            </w:r>
          </w:p>
        </w:tc>
        <w:tc>
          <w:tcPr/>
          <w:p>
            <w:pPr>
              <w:pStyle w:val="Compact"/>
              <w:jc w:val="left"/>
            </w:pPr>
            <w:r>
              <w:t xml:space="preserve">Court appearance – parking and transit expenses (Vancouver, BC)</w:t>
            </w:r>
          </w:p>
        </w:tc>
        <w:tc>
          <w:tcPr/>
          <w:p>
            <w:pPr>
              <w:pStyle w:val="Compact"/>
              <w:jc w:val="left"/>
            </w:pPr>
            <w:r>
              <w:t xml:space="preserve">$42.00</w:t>
            </w:r>
          </w:p>
        </w:tc>
      </w:tr>
      <w:tr>
        <w:tc>
          <w:tcPr/>
          <w:p>
            <w:pPr>
              <w:pStyle w:val="Compact"/>
              <w:jc w:val="left"/>
            </w:pPr>
            <w:r>
              <w:t xml:space="preserve">Jun 06, 2025</w:t>
            </w:r>
          </w:p>
        </w:tc>
        <w:tc>
          <w:tcPr/>
          <w:p>
            <w:pPr>
              <w:pStyle w:val="Compact"/>
              <w:jc w:val="left"/>
            </w:pPr>
            <w:r>
              <w:t xml:space="preserve">Long-distance telephone charges for settlement conference call</w:t>
            </w:r>
          </w:p>
        </w:tc>
        <w:tc>
          <w:tcPr/>
          <w:p>
            <w:pPr>
              <w:pStyle w:val="Compact"/>
              <w:jc w:val="left"/>
            </w:pPr>
            <w:r>
              <w:t xml:space="preserve">$18.50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Fees Subtotal</w:t>
            </w:r>
          </w:p>
        </w:tc>
        <w:tc>
          <w:tcPr/>
          <w:p>
            <w:pPr>
              <w:pStyle w:val="Compact"/>
              <w:jc w:val="left"/>
            </w:pPr>
            <w:r>
              <w:t xml:space="preserve">$5,527.50</w:t>
            </w:r>
          </w:p>
        </w:tc>
      </w:tr>
      <w:tr>
        <w:tc>
          <w:tcPr/>
          <w:p>
            <w:pPr>
              <w:pStyle w:val="Compact"/>
              <w:jc w:val="left"/>
            </w:pPr>
            <w:r>
              <w:t xml:space="preserve">Disbursements Subtotal</w:t>
            </w:r>
          </w:p>
        </w:tc>
        <w:tc>
          <w:tcPr/>
          <w:p>
            <w:pPr>
              <w:pStyle w:val="Compact"/>
              <w:jc w:val="left"/>
            </w:pPr>
            <w:r>
              <w:t xml:space="preserve">$792.50</w:t>
            </w:r>
          </w:p>
        </w:tc>
      </w:tr>
      <w:tr>
        <w:tc>
          <w:tcPr/>
          <w:p>
            <w:pPr>
              <w:pStyle w:val="Compact"/>
              <w:jc w:val="left"/>
            </w:pPr>
            <w:r>
              <w:rPr>
                <w:bCs/>
                <w:b/>
              </w:rPr>
              <w:t xml:space="preserve">Subtotal</w:t>
            </w:r>
          </w:p>
        </w:tc>
        <w:tc>
          <w:tcPr/>
          <w:p>
            <w:pPr>
              <w:pStyle w:val="Compact"/>
              <w:jc w:val="left"/>
            </w:pPr>
            <w:r>
              <w:rPr>
                <w:bCs/>
                <w:b/>
              </w:rPr>
              <w:t xml:space="preserve">$6,320.00</w:t>
            </w:r>
          </w:p>
        </w:tc>
      </w:tr>
      <w:tr>
        <w:tc>
          <w:tcPr/>
          <w:p>
            <w:pPr>
              <w:pStyle w:val="Compact"/>
              <w:jc w:val="left"/>
            </w:pPr>
            <w:r>
              <w:t xml:space="preserve">GST (5%)</w:t>
            </w:r>
          </w:p>
        </w:tc>
        <w:tc>
          <w:tcPr/>
          <w:p>
            <w:pPr>
              <w:pStyle w:val="Compact"/>
              <w:jc w:val="left"/>
            </w:pPr>
            <w:r>
              <w:t xml:space="preserve">$316.00</w:t>
            </w:r>
          </w:p>
        </w:tc>
      </w:tr>
      <w:tr>
        <w:tc>
          <w:tcPr/>
          <w:p>
            <w:pPr>
              <w:pStyle w:val="Compact"/>
              <w:jc w:val="left"/>
            </w:pPr>
            <w:r>
              <w:rPr>
                <w:bCs/>
                <w:b/>
              </w:rPr>
              <w:t xml:space="preserve">TOTAL AMOUNT DUE</w:t>
            </w:r>
          </w:p>
        </w:tc>
        <w:tc>
          <w:tcPr/>
          <w:p>
            <w:pPr>
              <w:pStyle w:val="Compact"/>
              <w:jc w:val="left"/>
            </w:pPr>
            <w:r>
              <w:rPr>
                <w:bCs/>
                <w:b/>
              </w:rPr>
              <w:t xml:space="preserve">$6,636.00</w:t>
            </w:r>
          </w:p>
        </w:tc>
      </w:tr>
    </w:tbl>
    <w:p>
      <w:pPr>
        <w:pStyle w:val="BodyText"/>
      </w:pPr>
      <w:r>
        <w:t xml:space="preserve">PAYMENT INSTRUCTIONS</w:t>
      </w:r>
    </w:p>
    <w:p>
      <w:pPr>
        <w:pStyle w:val="BodyText"/>
      </w:pPr>
      <w:r>
        <w:t xml:space="preserve">Payment of this Invoice is due within thirty (30) calendar days of the Invoice date, no later than</w:t>
      </w:r>
      <w:r>
        <w:t xml:space="preserve"> </w:t>
      </w:r>
      <w:r>
        <w:rPr>
          <w:bCs/>
          <w:b/>
        </w:rPr>
        <w:t xml:space="preserve">July 12, 2025</w:t>
      </w:r>
      <w:r>
        <w:t xml:space="preserve">. Please remit payment by one of the following methods:</w:t>
      </w:r>
    </w:p>
    <w:p>
      <w:pPr>
        <w:numPr>
          <w:ilvl w:val="0"/>
          <w:numId w:val="1001"/>
        </w:numPr>
        <w:pStyle w:val="Compact"/>
      </w:pPr>
      <w:r>
        <w:rPr>
          <w:bCs/>
          <w:b/>
        </w:rPr>
        <w:t xml:space="preserve">Interac e-Transfer:</w:t>
      </w:r>
      <w:r>
        <w:t xml:space="preserve"> </w:t>
      </w:r>
      <w:r>
        <w:t xml:space="preserve">billing@harboursterling.ca (Reference: INV-2025-00347)</w:t>
      </w:r>
    </w:p>
    <w:p>
      <w:pPr>
        <w:numPr>
          <w:ilvl w:val="0"/>
          <w:numId w:val="1001"/>
        </w:numPr>
        <w:pStyle w:val="Compact"/>
      </w:pPr>
      <w:r>
        <w:rPr>
          <w:bCs/>
          <w:b/>
        </w:rPr>
        <w:t xml:space="preserve">Bank Draft:</w:t>
      </w:r>
      <w:r>
        <w:t xml:space="preserve"> </w:t>
      </w:r>
      <w:r>
        <w:t xml:space="preserve">RBC Bank, Vancouver – Account No. 0042-8871-3356, Transit 00420</w:t>
      </w:r>
    </w:p>
    <w:p>
      <w:pPr>
        <w:numPr>
          <w:ilvl w:val="0"/>
          <w:numId w:val="1001"/>
        </w:numPr>
        <w:pStyle w:val="Compact"/>
      </w:pPr>
      <w:r>
        <w:rPr>
          <w:bCs/>
          <w:b/>
        </w:rPr>
        <w:t xml:space="preserve">Cheque:</w:t>
      </w:r>
      <w:r>
        <w:t xml:space="preserve"> </w:t>
      </w:r>
      <w:r>
        <w:t xml:space="preserve">Payable to "Harbour &amp; Sterling Law LLP", mailed to the office address listed above</w:t>
      </w:r>
    </w:p>
    <w:p>
      <w:pPr>
        <w:pStyle w:val="FirstParagraph"/>
      </w:pPr>
      <w:r>
        <w:t xml:space="preserve">Please note that in accordance with the Law Society of British Columbia's rules governing lawyer-client trust accounts, all payments received will be deposited into the firm's trust account. A trust account statement will be provided upon request. Late payments may be subject to interest at the rate prescribed under the</w:t>
      </w:r>
      <w:r>
        <w:t xml:space="preserve"> </w:t>
      </w:r>
      <w:r>
        <w:rPr>
          <w:iCs/>
          <w:i/>
        </w:rPr>
        <w:t xml:space="preserve">Interest Act</w:t>
      </w:r>
      <w:r>
        <w:t xml:space="preserve"> </w:t>
      </w:r>
      <w:r>
        <w:t xml:space="preserve">of Canada.</w:t>
      </w:r>
    </w:p>
    <w:bookmarkStart w:id="21" w:name="terms-and-conditions-of-this-invoice"/>
    <w:p>
      <w:pPr>
        <w:pStyle w:val="Heading3"/>
      </w:pPr>
      <w:r>
        <w:t xml:space="preserve">Terms and Conditions of This Invoice</w:t>
      </w:r>
    </w:p>
    <w:p>
      <w:pPr>
        <w:numPr>
          <w:ilvl w:val="0"/>
          <w:numId w:val="1002"/>
        </w:numPr>
        <w:pStyle w:val="Compact"/>
      </w:pPr>
      <w:r>
        <w:t xml:space="preserve">This Invoice constitutes a formal billing statement issued by the Lawyer, Ms. Catherine M. Harbour, acting in her capacity as a licensed Barrister and Solicitor in the Province of British Columbia, Canada. The Invoice is governed by the laws of the Province of British Columbia and the federal laws of Canada applicable in Canada Vancouver.</w:t>
      </w:r>
    </w:p>
    <w:p>
      <w:pPr>
        <w:numPr>
          <w:ilvl w:val="0"/>
          <w:numId w:val="1002"/>
        </w:numPr>
        <w:pStyle w:val="Compact"/>
      </w:pPr>
      <w:r>
        <w:t xml:space="preserve">All professional fees listed in this Invoice are billed at the standard hourly rate of $325.00 CAD per hour, as agreed upon in the Retainer Agreement dated April 28, 2025. Any change in rate will be communicated in writing prior to the rendering of additional services.</w:t>
      </w:r>
    </w:p>
    <w:p>
      <w:pPr>
        <w:numPr>
          <w:ilvl w:val="0"/>
          <w:numId w:val="1002"/>
        </w:numPr>
        <w:pStyle w:val="Compact"/>
      </w:pPr>
      <w:r>
        <w:t xml:space="preserve">Disbursements are billed at cost and are subject to the client's right to review supporting receipts. The Lawyer shall provide itemized receipts for any disbursement exceeding $100.00 upon written request.</w:t>
      </w:r>
    </w:p>
    <w:p>
      <w:pPr>
        <w:numPr>
          <w:ilvl w:val="0"/>
          <w:numId w:val="1002"/>
        </w:numPr>
        <w:pStyle w:val="Compact"/>
      </w:pPr>
      <w:r>
        <w:t xml:space="preserve">The client acknowledges that this Invoice reflects all legal services rendered up to and including June 10, 2025. No additional fees will be incurred for the matter referenced herein unless the engagement is extended in writing.</w:t>
      </w:r>
    </w:p>
    <w:p>
      <w:pPr>
        <w:numPr>
          <w:ilvl w:val="0"/>
          <w:numId w:val="1002"/>
        </w:numPr>
        <w:pStyle w:val="Compact"/>
      </w:pPr>
      <w:r>
        <w:t xml:space="preserve">In the event of a dispute regarding the amounts stated in this Invoice, the client may request a detailed account of the Lawyer's time and expenses in accordance with Rule 3.2 of the Law Society of British Columbia's Rules of Professional Conduct. The client may also apply to the Law Society for a cost assessment if the matter proceeds to a court-ordered accounting.</w:t>
      </w:r>
    </w:p>
    <w:p>
      <w:pPr>
        <w:numPr>
          <w:ilvl w:val="0"/>
          <w:numId w:val="1002"/>
        </w:numPr>
        <w:pStyle w:val="Compact"/>
      </w:pPr>
      <w:r>
        <w:t xml:space="preserve">This Invoice does not constitute a guarantee of any particular legal outcome. The Lawyer's professional judgment and the exercise of legal discretion in the handling of the matter are not subject to billing disputes.</w:t>
      </w:r>
    </w:p>
    <w:p>
      <w:pPr>
        <w:numPr>
          <w:ilvl w:val="0"/>
          <w:numId w:val="1002"/>
        </w:numPr>
        <w:pStyle w:val="Compact"/>
      </w:pPr>
      <w:r>
        <w:t xml:space="preserve">All communications regarding this Invoice should be directed to the billing department at the address listed above. The firm's office hours are Monday through Friday, 9:00 AM to 5:00 PM Pacific Time, excluding statutory holidays in British Columbia.</w:t>
      </w:r>
    </w:p>
    <w:bookmarkEnd w:id="21"/>
    <w:p>
      <w:pPr>
        <w:pStyle w:val="FirstParagraph"/>
      </w:pPr>
      <w:r>
        <w:rPr>
          <w:bCs/>
          <w:b/>
        </w:rPr>
        <w:t xml:space="preserve">Harbour &amp; Sterling Law LLP</w:t>
      </w:r>
      <w:r>
        <w:t xml:space="preserve"> </w:t>
      </w:r>
      <w:r>
        <w:t xml:space="preserve">– A Professional Corporation registered in the Province of British Columbia, Canada.</w:t>
      </w:r>
      <w:r>
        <w:br/>
      </w:r>
      <w:r>
        <w:t xml:space="preserve">This Invoice was prepared and issued in Vancouver, British Columbia, Canada. The firm is a member in good standing of the Law Society of British Columbia.</w:t>
      </w:r>
      <w:r>
        <w:br/>
      </w:r>
      <w:r>
        <w:t xml:space="preserve">Invoice INV-2025-00347</w:t>
      </w:r>
      <w:r>
        <w:t xml:space="preserve"> </w:t>
      </w:r>
      <w:r>
        <w:t xml:space="preserve"> |  Generated: June 12, 2025  |  Page 1 of 1</w:t>
      </w:r>
      <w:r>
        <w:br/>
      </w:r>
      <w:r>
        <w:br/>
      </w:r>
      <w:r>
        <w:rPr>
          <w:iCs/>
          <w:i/>
        </w:rPr>
        <w:t xml:space="preserve">Thank you for your business. We appreciate the opportunity to serve you as your legal counsel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Vancouver, Canada</dc:title>
  <dc:creator/>
  <dc:language>en</dc:language>
  <cp:keywords/>
  <dcterms:created xsi:type="dcterms:W3CDTF">2026-10-10T07:26:08Z</dcterms:created>
  <dcterms:modified xsi:type="dcterms:W3CDTF">2026-10-10T07:26:08Z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