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Al-Nile</w:t>
      </w:r>
      <w:r>
        <w:t xml:space="preserve"> </w:t>
      </w:r>
      <w:r>
        <w:t xml:space="preserve">Law</w:t>
      </w:r>
      <w:r>
        <w:t xml:space="preserve"> </w:t>
      </w:r>
      <w:r>
        <w:t xml:space="preserve">Firm</w:t>
      </w:r>
      <w:r>
        <w:t xml:space="preserve"> </w:t>
      </w:r>
      <w:r>
        <w:t xml:space="preserve">-</w:t>
      </w:r>
      <w:r>
        <w:t xml:space="preserve"> </w:t>
      </w:r>
      <w:r>
        <w:t xml:space="preserve">Cairo,</w:t>
      </w:r>
      <w:r>
        <w:t xml:space="preserve"> </w:t>
      </w:r>
      <w:r>
        <w:t xml:space="preserve">Egypt</w:t>
      </w:r>
    </w:p>
    <w:bookmarkStart w:id="20" w:name="al-nile-legal-counsel-advocates"/>
    <w:p>
      <w:pPr>
        <w:pStyle w:val="Heading1"/>
      </w:pPr>
      <w:r>
        <w:t xml:space="preserve">AL-NILE LEGAL COUNSEL &amp; ADVOCATES</w:t>
      </w:r>
    </w:p>
    <w:p>
      <w:pPr>
        <w:pStyle w:val="FirstParagraph"/>
      </w:pPr>
      <w:r>
        <w:t xml:space="preserve">Licensed Law Firm – Bar Association of Cairo, Egypt</w:t>
      </w:r>
    </w:p>
    <w:p>
      <w:pPr>
        <w:pStyle w:val="BodyText"/>
      </w:pPr>
      <w:r>
        <w:t xml:space="preserve">Office 412, 7th Floor, Zamalek Business Tower, 15 El-Gouna Street,</w:t>
      </w:r>
      <w:r>
        <w:br/>
      </w:r>
      <w:r>
        <w:t xml:space="preserve">Zamalek District, Cairo 11511, Arab Republic of Egypt</w:t>
      </w:r>
      <w:r>
        <w:br/>
      </w:r>
      <w:r>
        <w:t xml:space="preserve">Tel: +20 2 2735 8841 | Fax: +20 2 2735 8842 | Email: billing@alnilelawfirm.com.eg</w:t>
      </w:r>
      <w:r>
        <w:br/>
      </w:r>
      <w:r>
        <w:t xml:space="preserve">Tax Registration Number (TRN): 552-841-903-772 | Bar License No.: CAI-2019-04471</w:t>
      </w:r>
    </w:p>
    <w:bookmarkEnd w:id="20"/>
    <w:p>
      <w:pPr>
        <w:pStyle w:val="BodyText"/>
      </w:pPr>
      <w:r>
        <w:t xml:space="preserve">Invoice</w:t>
      </w:r>
    </w:p>
    <w:p>
      <w:pPr>
        <w:pStyle w:val="BodyText"/>
      </w:pPr>
      <w:r>
        <w:t xml:space="preserve">Invoice Number</w:t>
      </w:r>
    </w:p>
    <w:p>
      <w:pPr>
        <w:pStyle w:val="BodyText"/>
      </w:pPr>
      <w:r>
        <w:t xml:space="preserve">INV-2025-CAI-00387</w:t>
      </w:r>
    </w:p>
    <w:p>
      <w:pPr>
        <w:pStyle w:val="BodyText"/>
      </w:pPr>
      <w:r>
        <w:t xml:space="preserve">Invoice Date</w:t>
      </w:r>
    </w:p>
    <w:p>
      <w:pPr>
        <w:pStyle w:val="BodyText"/>
      </w:pPr>
      <w:r>
        <w:t xml:space="preserve">14 June 2025</w:t>
      </w:r>
    </w:p>
    <w:p>
      <w:pPr>
        <w:pStyle w:val="BodyText"/>
      </w:pPr>
      <w:r>
        <w:t xml:space="preserve">Due Date</w:t>
      </w:r>
    </w:p>
    <w:p>
      <w:pPr>
        <w:pStyle w:val="BodyText"/>
      </w:pPr>
      <w:r>
        <w:t xml:space="preserve">14 July 2025 (30 Days)</w:t>
      </w:r>
    </w:p>
    <w:p>
      <w:pPr>
        <w:pStyle w:val="BodyText"/>
      </w:pPr>
      <w:r>
        <w:t xml:space="preserve">Billed To (Client)</w:t>
      </w:r>
    </w:p>
    <w:p>
      <w:pPr>
        <w:pStyle w:val="BodyText"/>
      </w:pPr>
      <w:r>
        <w:rPr>
          <w:bCs/>
          <w:b/>
        </w:rPr>
        <w:t xml:space="preserve">Mr. Ahmed Hassan El-Sayed</w:t>
      </w:r>
    </w:p>
    <w:p>
      <w:pPr>
        <w:pStyle w:val="BodyText"/>
      </w:pPr>
      <w:r>
        <w:t xml:space="preserve">El-Mokattam Commercial Zone, Building 8,</w:t>
      </w:r>
      <w:r>
        <w:br/>
      </w:r>
      <w:r>
        <w:t xml:space="preserve">Floor 3, Suite 304, Mokattam, Cairo 11835, Egypt</w:t>
      </w:r>
    </w:p>
    <w:p>
      <w:pPr>
        <w:pStyle w:val="BodyText"/>
      </w:pPr>
      <w:r>
        <w:t xml:space="preserve">Tax ID: 294-551-887-330</w:t>
      </w:r>
    </w:p>
    <w:p>
      <w:pPr>
        <w:pStyle w:val="BodyText"/>
      </w:pPr>
      <w:r>
        <w:t xml:space="preserve">Reference / Case File</w:t>
      </w:r>
    </w:p>
    <w:p>
      <w:pPr>
        <w:pStyle w:val="BodyText"/>
      </w:pPr>
      <w:r>
        <w:t xml:space="preserve">Case No. 4421/2025 – Commercial Dispute</w:t>
      </w:r>
    </w:p>
    <w:p>
      <w:pPr>
        <w:pStyle w:val="BodyText"/>
      </w:pPr>
      <w:r>
        <w:t xml:space="preserve">Description of Legal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(EGP)</w:t>
            </w:r>
          </w:p>
        </w:tc>
        <w:tc>
          <w:tcPr/>
          <w:p>
            <w:pPr>
              <w:pStyle w:val="Compact"/>
              <w:jc w:val="left"/>
            </w:pPr>
            <w:r>
              <w:t xml:space="preserve">Amount (EGP)</w:t>
            </w:r>
          </w:p>
        </w:tc>
      </w:tr>
      <w:tr>
        <w:tc>
          <w:tcPr/>
          <w:p>
            <w:pPr>
              <w:pStyle w:val="Compact"/>
              <w:jc w:val="left"/>
            </w:pPr>
            <w:r>
              <w:t xml:space="preserve">01</w:t>
            </w:r>
          </w:p>
        </w:tc>
        <w:tc>
          <w:tcPr/>
          <w:p>
            <w:pPr>
              <w:pStyle w:val="Compact"/>
              <w:jc w:val="left"/>
            </w:pPr>
            <w:r>
              <w:t xml:space="preserve">Initial legal consultation and comprehensive review of commercial contract dispute between the Client and Delta Trading Co. Ltd. under Egyptian Civil Code Articles 147–155 and the Egyptian Commercial Code. Preparation of initial legal opinion memorandum.</w:t>
            </w:r>
          </w:p>
        </w:tc>
        <w:tc>
          <w:tcPr/>
          <w:p>
            <w:pPr>
              <w:pStyle w:val="Compact"/>
              <w:jc w:val="left"/>
            </w:pPr>
            <w:r>
              <w:t xml:space="preserve">02 Jun 2025</w:t>
            </w:r>
          </w:p>
        </w:tc>
        <w:tc>
          <w:tcPr/>
          <w:p>
            <w:pPr>
              <w:pStyle w:val="Compact"/>
              <w:jc w:val="left"/>
            </w:pPr>
            <w:r>
              <w:t xml:space="preserve">4.5</w:t>
            </w:r>
          </w:p>
        </w:tc>
        <w:tc>
          <w:tcPr/>
          <w:p>
            <w:pPr>
              <w:pStyle w:val="Compact"/>
              <w:jc w:val="left"/>
            </w:pPr>
            <w:r>
              <w:t xml:space="preserve">2,500</w:t>
            </w:r>
          </w:p>
        </w:tc>
        <w:tc>
          <w:tcPr/>
          <w:p>
            <w:pPr>
              <w:pStyle w:val="Compact"/>
              <w:jc w:val="left"/>
            </w:pPr>
            <w:r>
              <w:t xml:space="preserve">11,250.00</w:t>
            </w:r>
          </w:p>
        </w:tc>
      </w:tr>
      <w:tr>
        <w:tc>
          <w:tcPr/>
          <w:p>
            <w:pPr>
              <w:pStyle w:val="Compact"/>
              <w:jc w:val="left"/>
            </w:pPr>
            <w:r>
              <w:t xml:space="preserve">02</w:t>
            </w:r>
          </w:p>
        </w:tc>
        <w:tc>
          <w:tcPr/>
          <w:p>
            <w:pPr>
              <w:pStyle w:val="Compact"/>
              <w:jc w:val="left"/>
            </w:pPr>
            <w:r>
              <w:t xml:space="preserve">Drafting and filing of formal legal notice (Ishraf Qanooni) to the opposing party via the Cairo First Instance Court registry, including preparation of supporting documentary evidence and witness statements in accordance with Egyptian Civil Procedure Law (Law No. 13 of 1968, as amended).</w:t>
            </w:r>
          </w:p>
        </w:tc>
        <w:tc>
          <w:tcPr/>
          <w:p>
            <w:pPr>
              <w:pStyle w:val="Compact"/>
              <w:jc w:val="left"/>
            </w:pPr>
            <w:r>
              <w:t xml:space="preserve">05 Jun 2025</w:t>
            </w:r>
          </w:p>
        </w:tc>
        <w:tc>
          <w:tcPr/>
          <w:p>
            <w:pPr>
              <w:pStyle w:val="Compact"/>
              <w:jc w:val="left"/>
            </w:pPr>
            <w:r>
              <w:t xml:space="preserve">6.0</w:t>
            </w:r>
          </w:p>
        </w:tc>
        <w:tc>
          <w:tcPr/>
          <w:p>
            <w:pPr>
              <w:pStyle w:val="Compact"/>
              <w:jc w:val="left"/>
            </w:pPr>
            <w:r>
              <w:t xml:space="preserve">2,500</w:t>
            </w:r>
          </w:p>
        </w:tc>
        <w:tc>
          <w:tcPr/>
          <w:p>
            <w:pPr>
              <w:pStyle w:val="Compact"/>
              <w:jc w:val="left"/>
            </w:pPr>
            <w:r>
              <w:t xml:space="preserve">15,000.00</w:t>
            </w:r>
          </w:p>
        </w:tc>
      </w:tr>
      <w:tr>
        <w:tc>
          <w:tcPr/>
          <w:p>
            <w:pPr>
              <w:pStyle w:val="Compact"/>
              <w:jc w:val="left"/>
            </w:pPr>
            <w:r>
              <w:t xml:space="preserve">03</w:t>
            </w:r>
          </w:p>
        </w:tc>
        <w:tc>
          <w:tcPr/>
          <w:p>
            <w:pPr>
              <w:pStyle w:val="Compact"/>
              <w:jc w:val="left"/>
            </w:pPr>
            <w:r>
              <w:t xml:space="preserve">Representation of the Client at the Cairo Commercial Court (First Instance), hearing held on 09 June 2025. Includes court appearance, oral argument before the presiding judge, cross-examination of opposing counsel's witnesses, and submission of written legal brief (Mudafaa) citing relevant Egyptian Supreme Court (Court of Cassation) precedents.</w:t>
            </w:r>
          </w:p>
        </w:tc>
        <w:tc>
          <w:tcPr/>
          <w:p>
            <w:pPr>
              <w:pStyle w:val="Compact"/>
              <w:jc w:val="left"/>
            </w:pPr>
            <w:r>
              <w:t xml:space="preserve">09 Jun 2025</w:t>
            </w:r>
          </w:p>
        </w:tc>
        <w:tc>
          <w:tcPr/>
          <w:p>
            <w:pPr>
              <w:pStyle w:val="Compact"/>
              <w:jc w:val="left"/>
            </w:pPr>
            <w:r>
              <w:t xml:space="preserve">8.0</w:t>
            </w:r>
          </w:p>
        </w:tc>
        <w:tc>
          <w:tcPr/>
          <w:p>
            <w:pPr>
              <w:pStyle w:val="Compact"/>
              <w:jc w:val="left"/>
            </w:pPr>
            <w:r>
              <w:t xml:space="preserve">3,000</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Preparation and submission of a detailed written legal memorandum and counter-argument brief to the Cairo Commercial Court, addressing the opposing party's defense and incorporating applicable provisions of the Egyptian Civil Code, the Egyptian Commercial Code, and relevant decisions of the Egyptian Court of Cassation (Mahkamat Naqdh).</w:t>
            </w:r>
          </w:p>
        </w:tc>
        <w:tc>
          <w:tcPr/>
          <w:p>
            <w:pPr>
              <w:pStyle w:val="Compact"/>
              <w:jc w:val="left"/>
            </w:pPr>
            <w:r>
              <w:t xml:space="preserve">10–11 Jun 2025</w:t>
            </w:r>
          </w:p>
        </w:tc>
        <w:tc>
          <w:tcPr/>
          <w:p>
            <w:pPr>
              <w:pStyle w:val="Compact"/>
              <w:jc w:val="left"/>
            </w:pPr>
            <w:r>
              <w:t xml:space="preserve">7.5</w:t>
            </w:r>
          </w:p>
        </w:tc>
        <w:tc>
          <w:tcPr/>
          <w:p>
            <w:pPr>
              <w:pStyle w:val="Compact"/>
              <w:jc w:val="left"/>
            </w:pPr>
            <w:r>
              <w:t xml:space="preserve">2,500</w:t>
            </w:r>
          </w:p>
        </w:tc>
        <w:tc>
          <w:tcPr/>
          <w:p>
            <w:pPr>
              <w:pStyle w:val="Compact"/>
              <w:jc w:val="left"/>
            </w:pPr>
            <w:r>
              <w:t xml:space="preserve">18,750.00</w:t>
            </w:r>
          </w:p>
        </w:tc>
      </w:tr>
      <w:tr>
        <w:tc>
          <w:tcPr/>
          <w:p>
            <w:pPr>
              <w:pStyle w:val="Compact"/>
              <w:jc w:val="left"/>
            </w:pPr>
            <w:r>
              <w:t xml:space="preserve">05</w:t>
            </w:r>
          </w:p>
        </w:tc>
        <w:tc>
          <w:tcPr/>
          <w:p>
            <w:pPr>
              <w:pStyle w:val="Compact"/>
              <w:jc w:val="left"/>
            </w:pPr>
            <w:r>
              <w:t xml:space="preserve">Coordination with the Cairo Public Prosecution office regarding ancillary criminal complaint filed under Article 343 of the Egyptian Penal Code for alleged fraud in commercial transactions. Includes drafting the criminal complaint, attending the preliminary investigation session, and liaising with the investigating magistrate at the Mokattam Judicial District.</w:t>
            </w:r>
          </w:p>
        </w:tc>
        <w:tc>
          <w:tcPr/>
          <w:p>
            <w:pPr>
              <w:pStyle w:val="Compact"/>
              <w:jc w:val="left"/>
            </w:pPr>
            <w:r>
              <w:t xml:space="preserve">12 Jun 2025</w:t>
            </w:r>
          </w:p>
        </w:tc>
        <w:tc>
          <w:tcPr/>
          <w:p>
            <w:pPr>
              <w:pStyle w:val="Compact"/>
              <w:jc w:val="left"/>
            </w:pPr>
            <w:r>
              <w:t xml:space="preserve">5.0</w:t>
            </w:r>
          </w:p>
        </w:tc>
        <w:tc>
          <w:tcPr/>
          <w:p>
            <w:pPr>
              <w:pStyle w:val="Compact"/>
              <w:jc w:val="left"/>
            </w:pPr>
            <w:r>
              <w:t xml:space="preserve">3,000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Administrative and procedural support: preparation of power of attorney (Wakala) registered at the Cairo Notary Public Office, translation and notarization of supporting documents, and filing of all requisite court fees and stamp duties with the Cairo Commercial Court registry.</w:t>
            </w:r>
          </w:p>
        </w:tc>
        <w:tc>
          <w:tcPr/>
          <w:p>
            <w:pPr>
              <w:pStyle w:val="Compact"/>
              <w:jc w:val="left"/>
            </w:pPr>
            <w:r>
              <w:t xml:space="preserve">03–13 Jun 2025</w:t>
            </w:r>
          </w:p>
        </w:tc>
        <w:tc>
          <w:tcPr/>
          <w:p>
            <w:pPr>
              <w:pStyle w:val="Compact"/>
              <w:jc w:val="left"/>
            </w:pPr>
            <w:r>
              <w:t xml:space="preserve">3.0</w:t>
            </w:r>
          </w:p>
        </w:tc>
        <w:tc>
          <w:tcPr/>
          <w:p>
            <w:pPr>
              <w:pStyle w:val="Compact"/>
              <w:jc w:val="left"/>
            </w:pPr>
            <w:r>
              <w:t xml:space="preserve">1,500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left"/>
            </w:pPr>
            <w:r>
              <w:t xml:space="preserve">EGP 88,500.00</w:t>
            </w:r>
          </w:p>
        </w:tc>
      </w:tr>
      <w:tr>
        <w:tc>
          <w:tcPr/>
          <w:p>
            <w:pPr>
              <w:pStyle w:val="Compact"/>
              <w:jc w:val="left"/>
            </w:pPr>
            <w:r>
              <w:t xml:space="preserve">Court Fees &amp; Stamp Duties (Reimbursable)</w:t>
            </w:r>
          </w:p>
        </w:tc>
        <w:tc>
          <w:tcPr/>
          <w:p>
            <w:pPr>
              <w:pStyle w:val="Compact"/>
              <w:jc w:val="left"/>
            </w:pPr>
            <w:r>
              <w:t xml:space="preserve">EGP 3,200.00</w:t>
            </w:r>
          </w:p>
        </w:tc>
      </w:tr>
      <w:tr>
        <w:tc>
          <w:tcPr/>
          <w:p>
            <w:pPr>
              <w:pStyle w:val="Compact"/>
              <w:jc w:val="left"/>
            </w:pPr>
            <w:r>
              <w:t xml:space="preserve">Notary &amp; Translation Charges (Reimbursable)</w:t>
            </w:r>
          </w:p>
        </w:tc>
        <w:tc>
          <w:tcPr/>
          <w:p>
            <w:pPr>
              <w:pStyle w:val="Compact"/>
              <w:jc w:val="left"/>
            </w:pPr>
            <w:r>
              <w:t xml:space="preserve">EGP 1,450.00</w:t>
            </w:r>
          </w:p>
        </w:tc>
      </w:tr>
      <w:tr>
        <w:tc>
          <w:tcPr/>
          <w:p>
            <w:pPr>
              <w:pStyle w:val="Compact"/>
              <w:jc w:val="left"/>
            </w:pPr>
            <w:r>
              <w:t xml:space="preserve">Subtotal Before Tax</w:t>
            </w:r>
          </w:p>
        </w:tc>
        <w:tc>
          <w:tcPr/>
          <w:p>
            <w:pPr>
              <w:pStyle w:val="Compact"/>
              <w:jc w:val="left"/>
            </w:pPr>
            <w:r>
              <w:t xml:space="preserve">EGP 93,150.00</w:t>
            </w:r>
          </w:p>
        </w:tc>
      </w:tr>
      <w:tr>
        <w:tc>
          <w:tcPr/>
          <w:p>
            <w:pPr>
              <w:pStyle w:val="Compact"/>
              <w:jc w:val="left"/>
            </w:pPr>
            <w:r>
              <w:t xml:space="preserve">VAT @ 14% (Egyptian Value Added Tax – Law No. 67 of 2016)</w:t>
            </w:r>
          </w:p>
        </w:tc>
        <w:tc>
          <w:tcPr/>
          <w:p>
            <w:pPr>
              <w:pStyle w:val="Compact"/>
              <w:jc w:val="left"/>
            </w:pPr>
            <w:r>
              <w:t xml:space="preserve">EGP 13,041.00</w:t>
            </w:r>
          </w:p>
        </w:tc>
      </w:tr>
      <w:tr>
        <w:tc>
          <w:tcPr/>
          <w:p>
            <w:pPr>
              <w:pStyle w:val="Compact"/>
              <w:jc w:val="left"/>
            </w:pPr>
            <w:r>
              <w:rPr>
                <w:bCs/>
                <w:b/>
              </w:rPr>
              <w:t xml:space="preserve">Grand Total Due</w:t>
            </w:r>
          </w:p>
        </w:tc>
        <w:tc>
          <w:tcPr/>
          <w:p>
            <w:pPr>
              <w:pStyle w:val="Compact"/>
              <w:jc w:val="left"/>
            </w:pPr>
            <w:r>
              <w:rPr>
                <w:bCs/>
                <w:b/>
              </w:rPr>
              <w:t xml:space="preserve">EGP 106,191.00</w:t>
            </w:r>
          </w:p>
        </w:tc>
      </w:tr>
    </w:tbl>
    <w:p>
      <w:pPr>
        <w:pStyle w:val="BodyText"/>
      </w:pPr>
      <w:r>
        <w:rPr>
          <w:bCs/>
          <w:b/>
        </w:rPr>
        <w:t xml:space="preserve">Payment Terms &amp; Instructions:</w:t>
      </w:r>
    </w:p>
    <w:p>
      <w:pPr>
        <w:pStyle w:val="BodyText"/>
      </w:pPr>
      <w:r>
        <w:t xml:space="preserve">The total amount of</w:t>
      </w:r>
      <w:r>
        <w:t xml:space="preserve"> </w:t>
      </w:r>
      <w:r>
        <w:rPr>
          <w:bCs/>
          <w:b/>
        </w:rPr>
        <w:t xml:space="preserve">EGP 106,191.00</w:t>
      </w:r>
      <w:r>
        <w:t xml:space="preserve"> </w:t>
      </w:r>
      <w:r>
        <w:t xml:space="preserve">(One Hundred and Six Thousand One Hundred and Ninety-One Egyptian Pounds only) is due within thirty (30) calendar days from the date of this invoice, i.e., no later than</w:t>
      </w:r>
      <w:r>
        <w:t xml:space="preserve"> </w:t>
      </w:r>
      <w:r>
        <w:rPr>
          <w:bCs/>
          <w:b/>
        </w:rPr>
        <w:t xml:space="preserve">14 July 2025</w:t>
      </w:r>
      <w:r>
        <w:t xml:space="preserve">. Payment shall be made via bank transfer to the firm's designated account at the Central Bank of Egypt–licensed commercial bank as follows:</w:t>
      </w:r>
    </w:p>
    <w:p>
      <w:pPr>
        <w:pStyle w:val="BodyText"/>
      </w:pPr>
      <w:r>
        <w:rPr>
          <w:bCs/>
          <w:b/>
        </w:rPr>
        <w:t xml:space="preserve">Bank:</w:t>
      </w:r>
      <w:r>
        <w:t xml:space="preserve"> </w:t>
      </w:r>
      <w:r>
        <w:t xml:space="preserve">National Bank of Egypt (NBE), Zamalek Branch, Cairo</w:t>
      </w:r>
      <w:r>
        <w:br/>
      </w:r>
      <w:r>
        <w:rPr>
          <w:bCs/>
          <w:b/>
        </w:rPr>
        <w:t xml:space="preserve">Account Name:</w:t>
      </w:r>
      <w:r>
        <w:t xml:space="preserve"> </w:t>
      </w:r>
      <w:r>
        <w:t xml:space="preserve">Al-Nile Legal Counsel &amp; Advocates</w:t>
      </w:r>
      <w:r>
        <w:br/>
      </w:r>
      <w:r>
        <w:rPr>
          <w:bCs/>
          <w:b/>
        </w:rPr>
        <w:t xml:space="preserve">Account Number (IBAN):</w:t>
      </w:r>
      <w:r>
        <w:t xml:space="preserve"> </w:t>
      </w:r>
      <w:r>
        <w:t xml:space="preserve">EG38 0002 0001 2345 6789 0100 1234</w:t>
      </w:r>
      <w:r>
        <w:br/>
      </w:r>
      <w:r>
        <w:rPr>
          <w:bCs/>
          <w:b/>
        </w:rPr>
        <w:t xml:space="preserve">SWIFT Code:</w:t>
      </w:r>
      <w:r>
        <w:t xml:space="preserve"> </w:t>
      </w:r>
      <w:r>
        <w:t xml:space="preserve">NBEYEGCA</w:t>
      </w:r>
    </w:p>
    <w:p>
      <w:pPr>
        <w:pStyle w:val="BodyText"/>
      </w:pPr>
      <w:r>
        <w:t xml:space="preserve">Please reference the Invoice Number</w:t>
      </w:r>
      <w:r>
        <w:t xml:space="preserve"> </w:t>
      </w:r>
      <w:r>
        <w:rPr>
          <w:bCs/>
          <w:b/>
        </w:rPr>
        <w:t xml:space="preserve">INV-2025-CAI-00387</w:t>
      </w:r>
      <w:r>
        <w:t xml:space="preserve"> </w:t>
      </w:r>
      <w:r>
        <w:t xml:space="preserve">and Case File</w:t>
      </w:r>
      <w:r>
        <w:t xml:space="preserve"> </w:t>
      </w:r>
      <w:r>
        <w:rPr>
          <w:bCs/>
          <w:b/>
        </w:rPr>
        <w:t xml:space="preserve">4421/2025</w:t>
      </w:r>
      <w:r>
        <w:t xml:space="preserve"> </w:t>
      </w:r>
      <w:r>
        <w:t xml:space="preserve">in all payment communications. A late payment surcharge of 2% per month shall apply to any outstanding balance after the due date, in accordance with the retainer agreement executed on 01 June 2025 and the provisions of the Egyptian Civil Code regarding contractual obligations.</w:t>
      </w:r>
    </w:p>
    <w:p>
      <w:pPr>
        <w:pStyle w:val="BodyText"/>
      </w:pPr>
      <w:r>
        <w:t xml:space="preserve">Terms, Conditions &amp; Legal Disclaimer</w:t>
      </w:r>
    </w:p>
    <w:p>
      <w:pPr>
        <w:pStyle w:val="BodyText"/>
      </w:pPr>
      <w:r>
        <w:t xml:space="preserve">1. This invoice constitutes a formal billing document issued by Al-Nile Legal Counsel &amp; Advocates, a law firm duly registered with the Bar Association of Cairo, Arab Republic of Egypt, and licensed to practice law before all Egyptian courts, including the Cairo Commercial Court, the Cairo Court of Appeal, and the Egyptian Court of Cassation.</w:t>
      </w:r>
    </w:p>
    <w:p>
      <w:pPr>
        <w:pStyle w:val="BodyText"/>
      </w:pPr>
      <w:r>
        <w:t xml:space="preserve">2. All professional legal services described herein were rendered in strict compliance with the Egyptian Lawyers' Syndicate Code of Professional Conduct (Law No. 176 of 1951, as amended) and the ethical standards governing legal practice in Cairo, Egypt.</w:t>
      </w:r>
    </w:p>
    <w:p>
      <w:pPr>
        <w:pStyle w:val="BodyText"/>
      </w:pPr>
      <w:r>
        <w:t xml:space="preserve">3. The rates specified in this invoice are in accordance with the fee schedule agreed upon in the written retainer agreement dated 01 June 2025. Any additional services beyond the scope of the original engagement shall be billed separately upon prior written authorization from the Client.</w:t>
      </w:r>
    </w:p>
    <w:p>
      <w:pPr>
        <w:pStyle w:val="BodyText"/>
      </w:pPr>
      <w:r>
        <w:t xml:space="preserve">4. Reimbursable expenses (court fees, stamp duties, notary charges, and translation costs) are charged at actual cost and are subject to the Client's right to inspect original receipts and payment confirmations issued by the relevant Cairo court registries and government offices.</w:t>
      </w:r>
    </w:p>
    <w:p>
      <w:pPr>
        <w:pStyle w:val="BodyText"/>
      </w:pPr>
      <w:r>
        <w:t xml:space="preserve">5. This invoice is subject to the 14% Value Added Tax (VAT) as mandated by the Egyptian Tax Authority under Law No. 67 of 2016 and its implementing regulations. The firm's Tax Registration Number (TRN) is 552-841-903-772.</w:t>
      </w:r>
    </w:p>
    <w:p>
      <w:pPr>
        <w:pStyle w:val="BodyText"/>
      </w:pPr>
      <w:r>
        <w:t xml:space="preserve">6. In the event of any dispute regarding the amounts stated in this invoice, the parties agree that the competent courts of Cairo, Egypt, shall have exclusive jurisdiction, in accordance with the governing law of the Arab Republic of Egypt.</w:t>
      </w:r>
    </w:p>
    <w:p>
      <w:pPr>
        <w:pStyle w:val="BodyText"/>
      </w:pPr>
      <w:r>
        <w:t xml:space="preserve">7. This invoice is valid for a period of ninety (90) days from the date of issue. The Client is advised to retain this document for their tax records in compliance with Egyptian fiscal regulations.</w:t>
      </w:r>
    </w:p>
    <w:p>
      <w:pPr>
        <w:pStyle w:val="BodyText"/>
      </w:pPr>
      <w:r>
        <w:rPr>
          <w:bCs/>
          <w:b/>
        </w:rPr>
        <w:t xml:space="preserve">Issued By:</w:t>
      </w:r>
      <w:r>
        <w:br/>
      </w:r>
      <w:r>
        <w:t xml:space="preserve">Adv. Dr. Mona Khalil Ibrahim</w:t>
      </w:r>
      <w:r>
        <w:br/>
      </w:r>
      <w:r>
        <w:t xml:space="preserve">Managing Partner, Al-Nile Legal Counsel &amp; Advocates</w:t>
      </w:r>
      <w:r>
        <w:br/>
      </w:r>
      <w:r>
        <w:t xml:space="preserve">Bar License No.: CAI-2019-04471</w:t>
      </w:r>
      <w:r>
        <w:br/>
      </w:r>
      <w:r>
        <w:t xml:space="preserve">Cairo, Egypt</w:t>
      </w:r>
    </w:p>
    <w:p>
      <w:pPr>
        <w:pStyle w:val="BodyText"/>
      </w:pPr>
      <w:r>
        <w:rPr>
          <w:bCs/>
          <w:b/>
        </w:rPr>
        <w:t xml:space="preserve">Received &amp; Acknowledged By (Client):</w:t>
      </w:r>
      <w:r>
        <w:br/>
      </w:r>
      <w:r>
        <w:t xml:space="preserve">Mr. Ahmed Hassan El-Sayed</w:t>
      </w:r>
      <w:r>
        <w:br/>
      </w:r>
      <w:r>
        <w:t xml:space="preserve">Date: _______________</w:t>
      </w:r>
      <w:r>
        <w:br/>
      </w:r>
      <w:r>
        <w:t xml:space="preserve">Signature: _______________</w:t>
      </w:r>
    </w:p>
    <w:p>
      <w:pPr>
        <w:pStyle w:val="BodyText"/>
      </w:pPr>
      <w:r>
        <w:t xml:space="preserve">Al-Nile Legal Counsel &amp; Advocates | Zamalek, Cairo, Arab Republic of Egypt</w:t>
      </w:r>
      <w:r>
        <w:br/>
      </w:r>
      <w:r>
        <w:t xml:space="preserve">This invoice was generated electronically and is valid without a physical stamp in accordance with Egyptian Electronic Transactions Law No. 15 of 2004.</w:t>
      </w:r>
      <w:r>
        <w:br/>
      </w:r>
      <w:r>
        <w:t xml:space="preserve">© 2025 Al-Nile Legal Counsel &amp; Advocates. All rights reserved. | Invoice INV-2025-CAI-00387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Al-Nile Law Firm - Cairo, Egypt</dc:title>
  <dc:creator/>
  <dc:language>en</dc:language>
  <cp:keywords/>
  <dcterms:created xsi:type="dcterms:W3CDTF">2026-10-10T07:20:51Z</dcterms:created>
  <dcterms:modified xsi:type="dcterms:W3CDTF">2026-10-10T07:20:51Z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