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Paris,</w:t>
      </w:r>
      <w:r>
        <w:t xml:space="preserve"> </w:t>
      </w:r>
      <w:r>
        <w:t xml:space="preserve">France</w:t>
      </w:r>
    </w:p>
    <w:bookmarkStart w:id="20" w:name="invoice"/>
    <w:p>
      <w:pPr>
        <w:pStyle w:val="Heading1"/>
      </w:pPr>
      <w:r>
        <w:t xml:space="preserve">INVOICE</w:t>
      </w:r>
    </w:p>
    <w:p>
      <w:pPr>
        <w:pStyle w:val="FirstParagraph"/>
      </w:pPr>
      <w:r>
        <w:t xml:space="preserve">Legal Services — Avocat à la Cour d’Appel de Paris</w:t>
      </w:r>
    </w:p>
    <w:p>
      <w:pPr>
        <w:pStyle w:val="BodyText"/>
      </w:pPr>
      <w:r>
        <w:t xml:space="preserve">Document de facturation — Facture de prestations juridiques</w:t>
      </w:r>
    </w:p>
    <w:bookmarkEnd w:id="20"/>
    <w:p>
      <w:pPr>
        <w:pStyle w:val="BodyText"/>
      </w:pPr>
      <w:r>
        <w:rPr>
          <w:bCs/>
          <w:b/>
        </w:rPr>
        <w:t xml:space="preserve">MAÎTRE CLAIRE DUBOIS &amp; ASSOCIÉS</w:t>
      </w:r>
      <w:r>
        <w:br/>
      </w:r>
      <w:r>
        <w:t xml:space="preserve">Cabinet d’Avocats — Law Firm</w:t>
      </w:r>
      <w:r>
        <w:br/>
      </w:r>
      <w:r>
        <w:t xml:space="preserve">12, Avenue de l’Opéra</w:t>
      </w:r>
      <w:r>
        <w:br/>
      </w:r>
      <w:r>
        <w:t xml:space="preserve">75001 Paris, France</w:t>
      </w:r>
      <w:r>
        <w:br/>
      </w:r>
      <w:r>
        <w:t xml:space="preserve">Tél: +33 (0)1 42 60 35 87</w:t>
      </w:r>
      <w:r>
        <w:br/>
      </w:r>
      <w:r>
        <w:t xml:space="preserve">Email: contact@maître-dubois-paris.fr</w:t>
      </w:r>
      <w:r>
        <w:br/>
      </w:r>
      <w:r>
        <w:t xml:space="preserve">SIRET: 842 567 391 00027</w:t>
      </w:r>
      <w:r>
        <w:br/>
      </w:r>
      <w:r>
        <w:t xml:space="preserve">TVA Intracommunautaire: FR 42 842567391</w:t>
      </w:r>
    </w:p>
    <w:p>
      <w:pPr>
        <w:pStyle w:val="BodyText"/>
      </w:pPr>
      <w:r>
        <w:rPr>
          <w:bCs/>
          <w:b/>
        </w:rPr>
        <w:t xml:space="preserve">INVOICE NO:</w:t>
      </w:r>
      <w:r>
        <w:t xml:space="preserve"> </w:t>
      </w:r>
      <w:r>
        <w:t xml:space="preserve">INV-2025-0487</w:t>
      </w:r>
      <w:r>
        <w:br/>
      </w:r>
      <w:r>
        <w:rPr>
          <w:bCs/>
          <w:b/>
        </w:rPr>
        <w:t xml:space="preserve">DATE ISSUED:</w:t>
      </w:r>
      <w:r>
        <w:t xml:space="preserve"> </w:t>
      </w:r>
      <w:r>
        <w:t xml:space="preserve">15 June 2025</w:t>
      </w:r>
      <w:r>
        <w:br/>
      </w:r>
      <w:r>
        <w:rPr>
          <w:bCs/>
          <w:b/>
        </w:rPr>
        <w:t xml:space="preserve">DUE DATE:</w:t>
      </w:r>
      <w:r>
        <w:t xml:space="preserve"> </w:t>
      </w:r>
      <w:r>
        <w:t xml:space="preserve">15 July 2025</w:t>
      </w:r>
      <w:r>
        <w:br/>
      </w:r>
      <w:r>
        <w:rPr>
          <w:bCs/>
          <w:b/>
        </w:rPr>
        <w:t xml:space="preserve">CURRENCY:</w:t>
      </w:r>
      <w:r>
        <w:t xml:space="preserve"> </w:t>
      </w:r>
      <w:r>
        <w:t xml:space="preserve">EUR (€)</w:t>
      </w:r>
      <w:r>
        <w:br/>
      </w:r>
      <w:r>
        <w:rPr>
          <w:bCs/>
          <w:b/>
        </w:rPr>
        <w:t xml:space="preserve">REFERENCE:</w:t>
      </w:r>
      <w:r>
        <w:t xml:space="preserve"> </w:t>
      </w:r>
      <w:r>
        <w:t xml:space="preserve">File No. 2025/PL/0342</w:t>
      </w:r>
    </w:p>
    <w:bookmarkStart w:id="21" w:name="billed-to-client"/>
    <w:p>
      <w:pPr>
        <w:pStyle w:val="Heading3"/>
      </w:pPr>
      <w:r>
        <w:t xml:space="preserve">BILLED TO (Client)</w:t>
      </w:r>
    </w:p>
    <w:p>
      <w:pPr>
        <w:pStyle w:val="FirstParagraph"/>
      </w:pPr>
      <w:r>
        <w:rPr>
          <w:bCs/>
          <w:b/>
        </w:rPr>
        <w:t xml:space="preserve">M. Jean-Pierre Lefebvre</w:t>
      </w:r>
    </w:p>
    <w:p>
      <w:pPr>
        <w:pStyle w:val="BodyText"/>
      </w:pPr>
      <w:r>
        <w:t xml:space="preserve">48, Rue de Rivoli</w:t>
      </w:r>
    </w:p>
    <w:p>
      <w:pPr>
        <w:pStyle w:val="BodyText"/>
      </w:pPr>
      <w:r>
        <w:t xml:space="preserve">75004 Paris, France</w:t>
      </w:r>
    </w:p>
    <w:p>
      <w:pPr>
        <w:pStyle w:val="BodyText"/>
      </w:pPr>
      <w:r>
        <w:t xml:space="preserve">Tél: +33 (0)6 12 34 56 78</w:t>
      </w:r>
    </w:p>
    <w:p>
      <w:pPr>
        <w:pStyle w:val="BodyText"/>
      </w:pPr>
      <w:r>
        <w:t xml:space="preserve">Email: jp.lefebvre@email.fr</w:t>
      </w:r>
    </w:p>
    <w:p>
      <w:pPr>
        <w:pStyle w:val="BodyText"/>
      </w:pPr>
      <w:r>
        <w:t xml:space="preserve">SIRET (Company): 765 432 109 00012</w:t>
      </w:r>
    </w:p>
    <w:bookmarkEnd w:id="21"/>
    <w:bookmarkStart w:id="22" w:name="matter-details"/>
    <w:p>
      <w:pPr>
        <w:pStyle w:val="Heading3"/>
      </w:pPr>
      <w:r>
        <w:t xml:space="preserve">MATTER DETAILS</w:t>
      </w:r>
    </w:p>
    <w:p>
      <w:pPr>
        <w:pStyle w:val="FirstParagraph"/>
      </w:pPr>
      <w:r>
        <w:rPr>
          <w:bCs/>
          <w:b/>
        </w:rPr>
        <w:t xml:space="preserve">Practice Area:</w:t>
      </w:r>
      <w:r>
        <w:t xml:space="preserve"> </w:t>
      </w:r>
      <w:r>
        <w:t xml:space="preserve">Corporate &amp; Commercial Law</w:t>
      </w:r>
    </w:p>
    <w:p>
      <w:pPr>
        <w:pStyle w:val="BodyText"/>
      </w:pPr>
      <w:r>
        <w:rPr>
          <w:bCs/>
          <w:b/>
        </w:rPr>
        <w:t xml:space="preserve">Case Reference:</w:t>
      </w:r>
      <w:r>
        <w:t xml:space="preserve"> </w:t>
      </w:r>
      <w:r>
        <w:t xml:space="preserve">Commercial Dispute — Tribunal de Commerce de Paris</w:t>
      </w:r>
    </w:p>
    <w:p>
      <w:pPr>
        <w:pStyle w:val="BodyText"/>
      </w:pPr>
      <w:r>
        <w:rPr>
          <w:bCs/>
          <w:b/>
        </w:rPr>
        <w:t xml:space="preserve">Engagement Date:</w:t>
      </w:r>
      <w:r>
        <w:t xml:space="preserve"> </w:t>
      </w:r>
      <w:r>
        <w:t xml:space="preserve">03 March 2025</w:t>
      </w:r>
    </w:p>
    <w:p>
      <w:pPr>
        <w:pStyle w:val="BodyText"/>
      </w:pPr>
      <w:r>
        <w:rPr>
          <w:bCs/>
          <w:b/>
        </w:rPr>
        <w:t xml:space="preserve">Reporting Period:</w:t>
      </w:r>
      <w:r>
        <w:t xml:space="preserve"> </w:t>
      </w:r>
      <w:r>
        <w:t xml:space="preserve">01 April 2025 – 30 May 2025</w:t>
      </w:r>
    </w:p>
    <w:bookmarkEnd w:id="22"/>
    <w:bookmarkStart w:id="24" w:name="description-of-legal-services-rendered"/>
    <w:p>
      <w:pPr>
        <w:pStyle w:val="Heading2"/>
      </w:pPr>
      <w:r>
        <w:t xml:space="preserve">Description of Legal Services Rendered</w:t>
      </w:r>
    </w:p>
    <w:p>
      <w:pPr>
        <w:pStyle w:val="FirstParagraph"/>
      </w:pPr>
      <w:r>
        <w:t xml:space="preserve">The following invoice is issued by Maître Claire Dubois, a qualified lawyer (avocat) registered with the Barreau de Paris (Paris Bar Association), in accordance with the French Code of Civil Procedure and the professional regulations governing legal fees in France. The services described below were rendered in connection with the above-referenced commercial dispute matter before the Tribunal de Commerce de Paris, located at 36, Boulevard du Palais, 75001 Paris.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Hours</w:t>
            </w:r>
          </w:p>
        </w:tc>
        <w:tc>
          <w:tcPr/>
          <w:p>
            <w:pPr>
              <w:pStyle w:val="Compact"/>
              <w:jc w:val="left"/>
            </w:pPr>
            <w:r>
              <w:t xml:space="preserve">Rate (EUR/hr)</w:t>
            </w:r>
          </w:p>
        </w:tc>
        <w:tc>
          <w:tcPr/>
          <w:p>
            <w:pPr>
              <w:pStyle w:val="Compact"/>
              <w:jc w:val="left"/>
            </w:pPr>
            <w:r>
              <w:t xml:space="preserve">Amount (EUR)</w:t>
            </w:r>
          </w:p>
        </w:tc>
        <w:tc>
          <w:tcPr/>
          <w:p>
            <w:pPr>
              <w:pStyle w:val="Compact"/>
              <w:jc w:val="left"/>
            </w:pPr>
            <w:r>
              <w:t xml:space="preserve">Date(s) Performed</w:t>
            </w:r>
          </w:p>
        </w:tc>
      </w:tr>
      <w:tr>
        <w:tc>
          <w:tcPr/>
          <w:p>
            <w:pPr>
              <w:pStyle w:val="Compact"/>
              <w:jc w:val="left"/>
            </w:pPr>
            <w:r>
              <w:t xml:space="preserve">1</w:t>
            </w:r>
          </w:p>
        </w:tc>
        <w:tc>
          <w:tcPr/>
          <w:p>
            <w:pPr>
              <w:pStyle w:val="Compact"/>
              <w:jc w:val="left"/>
            </w:pPr>
            <w:r>
              <w:t xml:space="preserve">Initial consultation and case assessment regarding the commercial contract dispute with Société Martin &amp; Fils. Review of all contractual documents, correspondence, and evidence. Preparation of the legal strategy memorandum for the client.</w:t>
            </w:r>
          </w:p>
        </w:tc>
        <w:tc>
          <w:tcPr/>
          <w:p>
            <w:pPr>
              <w:pStyle w:val="Compact"/>
              <w:jc w:val="left"/>
            </w:pPr>
            <w:r>
              <w:t xml:space="preserve">4.5</w:t>
            </w:r>
          </w:p>
        </w:tc>
        <w:tc>
          <w:tcPr/>
          <w:p>
            <w:pPr>
              <w:pStyle w:val="Compact"/>
              <w:jc w:val="left"/>
            </w:pPr>
            <w:r>
              <w:t xml:space="preserve">€280.00</w:t>
            </w:r>
          </w:p>
        </w:tc>
        <w:tc>
          <w:tcPr/>
          <w:p>
            <w:pPr>
              <w:pStyle w:val="Compact"/>
              <w:jc w:val="left"/>
            </w:pPr>
            <w:r>
              <w:t xml:space="preserve">€1,260.00</w:t>
            </w:r>
          </w:p>
        </w:tc>
        <w:tc>
          <w:tcPr/>
          <w:p>
            <w:pPr>
              <w:pStyle w:val="Compact"/>
              <w:jc w:val="left"/>
            </w:pPr>
            <w:r>
              <w:t xml:space="preserve">03 Mar 2025</w:t>
            </w:r>
          </w:p>
        </w:tc>
      </w:tr>
      <w:tr>
        <w:tc>
          <w:tcPr/>
          <w:p>
            <w:pPr>
              <w:pStyle w:val="Compact"/>
              <w:jc w:val="left"/>
            </w:pPr>
            <w:r>
              <w:t xml:space="preserve">2</w:t>
            </w:r>
          </w:p>
        </w:tc>
        <w:tc>
          <w:tcPr/>
          <w:p>
            <w:pPr>
              <w:pStyle w:val="Compact"/>
              <w:jc w:val="left"/>
            </w:pPr>
            <w:r>
              <w:t xml:space="preserve">Drafting and filing of the initial statement of claim (assignation) before the Tribunal de Commerce de Paris. Preparation of supporting exhibits and legal arguments under French commercial law (Code de commerce, Articles L.441-1 et seq.).</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10–14 Mar 2025</w:t>
            </w:r>
          </w:p>
        </w:tc>
      </w:tr>
      <w:tr>
        <w:tc>
          <w:tcPr/>
          <w:p>
            <w:pPr>
              <w:pStyle w:val="Compact"/>
              <w:jc w:val="left"/>
            </w:pPr>
            <w:r>
              <w:t xml:space="preserve">3</w:t>
            </w:r>
          </w:p>
        </w:tc>
        <w:tc>
          <w:tcPr/>
          <w:p>
            <w:pPr>
              <w:pStyle w:val="Compact"/>
              <w:jc w:val="left"/>
            </w:pPr>
            <w:r>
              <w:t xml:space="preserve">Representation of the client at the first hearing before the Tribunal de Commerce de Paris, 14th Chamber. Oral advocacy, cross-examination of opposing counsel’s witnesses, and submission of closing arguments.</w:t>
            </w:r>
          </w:p>
        </w:tc>
        <w:tc>
          <w:tcPr/>
          <w:p>
            <w:pPr>
              <w:pStyle w:val="Compact"/>
              <w:jc w:val="left"/>
            </w:pPr>
            <w:r>
              <w:t xml:space="preserve">6.0</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28 Apr 2025</w:t>
            </w:r>
          </w:p>
        </w:tc>
      </w:tr>
      <w:tr>
        <w:tc>
          <w:tcPr/>
          <w:p>
            <w:pPr>
              <w:pStyle w:val="Compact"/>
              <w:jc w:val="left"/>
            </w:pPr>
            <w:r>
              <w:t xml:space="preserve">4</w:t>
            </w:r>
          </w:p>
        </w:tc>
        <w:tc>
          <w:tcPr/>
          <w:p>
            <w:pPr>
              <w:pStyle w:val="Compact"/>
              <w:jc w:val="left"/>
            </w:pPr>
            <w:r>
              <w:t xml:space="preserve">Preparation and submission of written pleadings (mémoire en réplique) in response to the defendant’s defence. Legal research on applicable French and EU commercial regulations, including GDPR compliance aspects of the disputed data-sharing clause.</w:t>
            </w:r>
          </w:p>
        </w:tc>
        <w:tc>
          <w:tcPr/>
          <w:p>
            <w:pPr>
              <w:pStyle w:val="Compact"/>
              <w:jc w:val="left"/>
            </w:pPr>
            <w:r>
              <w:t xml:space="preserve">10.5</w:t>
            </w:r>
          </w:p>
        </w:tc>
        <w:tc>
          <w:tcPr/>
          <w:p>
            <w:pPr>
              <w:pStyle w:val="Compact"/>
              <w:jc w:val="left"/>
            </w:pPr>
            <w:r>
              <w:t xml:space="preserve">€280.00</w:t>
            </w:r>
          </w:p>
        </w:tc>
        <w:tc>
          <w:tcPr/>
          <w:p>
            <w:pPr>
              <w:pStyle w:val="Compact"/>
              <w:jc w:val="left"/>
            </w:pPr>
            <w:r>
              <w:t xml:space="preserve">€2,940.00</w:t>
            </w:r>
          </w:p>
        </w:tc>
        <w:tc>
          <w:tcPr/>
          <w:p>
            <w:pPr>
              <w:pStyle w:val="Compact"/>
              <w:jc w:val="left"/>
            </w:pPr>
            <w:r>
              <w:t xml:space="preserve">05–12 May 2025</w:t>
            </w:r>
          </w:p>
        </w:tc>
      </w:tr>
      <w:tr>
        <w:tc>
          <w:tcPr/>
          <w:p>
            <w:pPr>
              <w:pStyle w:val="Compact"/>
              <w:jc w:val="left"/>
            </w:pPr>
            <w:r>
              <w:t xml:space="preserve">5</w:t>
            </w:r>
          </w:p>
        </w:tc>
        <w:tc>
          <w:tcPr/>
          <w:p>
            <w:pPr>
              <w:pStyle w:val="Compact"/>
              <w:jc w:val="left"/>
            </w:pPr>
            <w:r>
              <w:t xml:space="preserve">Client advisory meetings (three sessions) to discuss case progress, potential settlement options, and risk assessment. Preparation of a detailed legal opinion on the enforceability of the arbitration clause under the New York Convention as applicable in France.</w:t>
            </w:r>
          </w:p>
        </w:tc>
        <w:tc>
          <w:tcPr/>
          <w:p>
            <w:pPr>
              <w:pStyle w:val="Compact"/>
              <w:jc w:val="left"/>
            </w:pPr>
            <w:r>
              <w:t xml:space="preserve">5.0</w:t>
            </w:r>
          </w:p>
        </w:tc>
        <w:tc>
          <w:tcPr/>
          <w:p>
            <w:pPr>
              <w:pStyle w:val="Compact"/>
              <w:jc w:val="left"/>
            </w:pPr>
            <w:r>
              <w:t xml:space="preserve">€280.00</w:t>
            </w:r>
          </w:p>
        </w:tc>
        <w:tc>
          <w:tcPr/>
          <w:p>
            <w:pPr>
              <w:pStyle w:val="Compact"/>
              <w:jc w:val="left"/>
            </w:pPr>
            <w:r>
              <w:t xml:space="preserve">€1,400.00</w:t>
            </w:r>
          </w:p>
        </w:tc>
        <w:tc>
          <w:tcPr/>
          <w:p>
            <w:pPr>
              <w:pStyle w:val="Compact"/>
              <w:jc w:val="left"/>
            </w:pPr>
            <w:r>
              <w:t xml:space="preserve">18 Apr, 02 May, 20 May 2025</w:t>
            </w:r>
          </w:p>
        </w:tc>
      </w:tr>
      <w:tr>
        <w:tc>
          <w:tcPr/>
          <w:p>
            <w:pPr>
              <w:pStyle w:val="Compact"/>
              <w:jc w:val="left"/>
            </w:pPr>
            <w:r>
              <w:t xml:space="preserve">6</w:t>
            </w:r>
          </w:p>
        </w:tc>
        <w:tc>
          <w:tcPr/>
          <w:p>
            <w:pPr>
              <w:pStyle w:val="Compact"/>
              <w:jc w:val="left"/>
            </w:pPr>
            <w:r>
              <w:t xml:space="preserve">Coordination with expert witnesses (comptable expert) appointed by the Tribunal. Review of the expert’s preliminary report and preparation of observations and questions for the expert hearing scheduled before the Paris court.</w:t>
            </w:r>
          </w:p>
        </w:tc>
        <w:tc>
          <w:tcPr/>
          <w:p>
            <w:pPr>
              <w:pStyle w:val="Compact"/>
              <w:jc w:val="left"/>
            </w:pPr>
            <w:r>
              <w:t xml:space="preserve">7.5</w:t>
            </w:r>
          </w:p>
        </w:tc>
        <w:tc>
          <w:tcPr/>
          <w:p>
            <w:pPr>
              <w:pStyle w:val="Compact"/>
              <w:jc w:val="left"/>
            </w:pPr>
            <w:r>
              <w:t xml:space="preserve">€280.00</w:t>
            </w:r>
          </w:p>
        </w:tc>
        <w:tc>
          <w:tcPr/>
          <w:p>
            <w:pPr>
              <w:pStyle w:val="Compact"/>
              <w:jc w:val="left"/>
            </w:pPr>
            <w:r>
              <w:t xml:space="preserve">€2,100.00</w:t>
            </w:r>
          </w:p>
        </w:tc>
        <w:tc>
          <w:tcPr/>
          <w:p>
            <w:pPr>
              <w:pStyle w:val="Compact"/>
              <w:jc w:val="left"/>
            </w:pPr>
            <w:r>
              <w:t xml:space="preserve">22–27 May 2025</w:t>
            </w:r>
          </w:p>
        </w:tc>
      </w:tr>
      <w:tr>
        <w:tc>
          <w:tcPr/>
          <w:p>
            <w:pPr>
              <w:pStyle w:val="Compact"/>
              <w:jc w:val="left"/>
            </w:pPr>
            <w:r>
              <w:t xml:space="preserve">7</w:t>
            </w:r>
          </w:p>
        </w:tc>
        <w:tc>
          <w:tcPr/>
          <w:p>
            <w:pPr>
              <w:pStyle w:val="Compact"/>
              <w:jc w:val="left"/>
            </w:pPr>
            <w:r>
              <w:t xml:space="preserve">Out-of-pocket expenses: Court filing fees (droits de plaideurs), registered mail (lettre recommandée avec AR) for service of process, photocopying, and travel expenses within Paris for court appearances.</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c>
          <w:tcPr/>
          <w:p>
            <w:pPr>
              <w:pStyle w:val="Compact"/>
              <w:jc w:val="left"/>
            </w:pPr>
            <w:r>
              <w:t xml:space="preserve">Various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€13,467.50</w:t>
            </w:r>
          </w:p>
        </w:tc>
      </w:tr>
      <w:tr>
        <w:tc>
          <w:tcPr/>
          <w:p>
            <w:pPr>
              <w:pStyle w:val="Compact"/>
              <w:jc w:val="left"/>
            </w:pPr>
            <w:r>
              <w:t xml:space="preserve">TVA (VAT) — 20%</w:t>
            </w:r>
          </w:p>
        </w:tc>
        <w:tc>
          <w:tcPr/>
          <w:p>
            <w:pPr>
              <w:pStyle w:val="Compact"/>
              <w:jc w:val="right"/>
            </w:pPr>
            <w:r>
              <w:t xml:space="preserve">€2,693.50</w:t>
            </w:r>
          </w:p>
        </w:tc>
      </w:tr>
      <w:tr>
        <w:tc>
          <w:tcPr/>
          <w:p>
            <w:pPr>
              <w:pStyle w:val="Compact"/>
              <w:jc w:val="left"/>
            </w:pPr>
            <w:r>
              <w:t xml:space="preserve">TOTAL DUE (TTC)</w:t>
            </w:r>
          </w:p>
        </w:tc>
        <w:tc>
          <w:tcPr/>
          <w:p>
            <w:pPr>
              <w:pStyle w:val="Compact"/>
              <w:jc w:val="right"/>
            </w:pPr>
            <w:r>
              <w:t xml:space="preserve">€16,161.00</w:t>
            </w:r>
          </w:p>
        </w:tc>
      </w:tr>
    </w:tbl>
    <w:bookmarkStart w:id="23" w:name="payment-terms-instructions"/>
    <w:p>
      <w:pPr>
        <w:pStyle w:val="Heading4"/>
      </w:pPr>
      <w:r>
        <w:t xml:space="preserve">Payment Terms &amp; Instructions</w:t>
      </w:r>
    </w:p>
    <w:p>
      <w:pPr>
        <w:pStyle w:val="FirstParagraph"/>
      </w:pPr>
      <w:r>
        <w:t xml:space="preserve">This invoice is payable within</w:t>
      </w:r>
      <w:r>
        <w:t xml:space="preserve"> </w:t>
      </w:r>
      <w:r>
        <w:rPr>
          <w:bCs/>
          <w:b/>
        </w:rPr>
        <w:t xml:space="preserve">thirty (30) days</w:t>
      </w:r>
      <w:r>
        <w:t xml:space="preserve"> </w:t>
      </w:r>
      <w:r>
        <w:t xml:space="preserve">of the date of issue, in accordance with Article L.441-10 of the French Commercial Code. Payment shall be made by bank transfer to the following account:</w:t>
      </w:r>
    </w:p>
    <w:p>
      <w:pPr>
        <w:pStyle w:val="BodyText"/>
      </w:pPr>
      <w:r>
        <w:rPr>
          <w:bCs/>
          <w:b/>
        </w:rPr>
        <w:t xml:space="preserve">IBAN:</w:t>
      </w:r>
      <w:r>
        <w:t xml:space="preserve"> </w:t>
      </w:r>
      <w:r>
        <w:t xml:space="preserve">FR76 3000 4000 0312 0001 2345 678</w:t>
      </w:r>
      <w:r>
        <w:br/>
      </w:r>
      <w:r>
        <w:rPr>
          <w:bCs/>
          <w:b/>
        </w:rPr>
        <w:t xml:space="preserve">BIC/SWIFT:</w:t>
      </w:r>
      <w:r>
        <w:t xml:space="preserve"> </w:t>
      </w:r>
      <w:r>
        <w:t xml:space="preserve">BNPAFRPPXXX</w:t>
      </w:r>
      <w:r>
        <w:br/>
      </w:r>
      <w:r>
        <w:rPr>
          <w:bCs/>
          <w:b/>
        </w:rPr>
        <w:t xml:space="preserve">Bank:</w:t>
      </w:r>
      <w:r>
        <w:t xml:space="preserve"> </w:t>
      </w:r>
      <w:r>
        <w:t xml:space="preserve">Banque Nationale de Paris (BNP Paribas), 12 Rue d’Antin, 75002 Paris</w:t>
      </w:r>
      <w:r>
        <w:br/>
      </w:r>
      <w:r>
        <w:rPr>
          <w:bCs/>
          <w:b/>
        </w:rPr>
        <w:t xml:space="preserve">Reference:</w:t>
      </w:r>
      <w:r>
        <w:t xml:space="preserve"> </w:t>
      </w:r>
      <w:r>
        <w:t xml:space="preserve">INV-2025-0487 / Lefebvre / 2025-PL-0342</w:t>
      </w:r>
    </w:p>
    <w:p>
      <w:pPr>
        <w:pStyle w:val="BodyText"/>
      </w:pPr>
      <w:r>
        <w:t xml:space="preserve">Late payment shall incur statutory interest at the rate provided under Article L.441-10 of the French Commercial Code, plus a fixed indemnity of €40 for recovery costs. In the event of non-payment, Maître Dubois reserves the right to suspend all ongoing legal services and to report the matter to the Tribunal de Commerce de Paris for enforcement proceedings.</w:t>
      </w:r>
    </w:p>
    <w:bookmarkEnd w:id="23"/>
    <w:bookmarkEnd w:id="24"/>
    <w:bookmarkStart w:id="30" w:name="legal-regulatory-notes"/>
    <w:p>
      <w:pPr>
        <w:pStyle w:val="Heading2"/>
      </w:pPr>
      <w:r>
        <w:t xml:space="preserve">Legal &amp; Regulatory Notes</w:t>
      </w:r>
    </w:p>
    <w:bookmarkStart w:id="25" w:name="professional-regulation-transparency"/>
    <w:p>
      <w:pPr>
        <w:pStyle w:val="Heading4"/>
      </w:pPr>
      <w:r>
        <w:t xml:space="preserve">Professional Regulation &amp; Transparency</w:t>
      </w:r>
    </w:p>
    <w:p>
      <w:pPr>
        <w:pStyle w:val="FirstParagraph"/>
      </w:pPr>
      <w:r>
        <w:t xml:space="preserve">This invoice is issued in compliance with the French Code of Civil Procedure (Code de procédure civile), Articles 700 and 6955, and the professional rules of the Barreau de Paris. All fees charged are in accordance with the fee schedule (barème) established by the Ordre des Avocats de Paris and the applicable provisions of the French Code of Civil Procedure regarding the taxation of costs (taxe des dépens). The hourly rates stated herein reflect the standard rates for a senior avocat practising in Paris, France, and are subject to the annual revision by the Conseil de l’Ordre des Avocats de Paris.</w:t>
      </w:r>
    </w:p>
    <w:bookmarkEnd w:id="25"/>
    <w:bookmarkStart w:id="26" w:name="tax-information"/>
    <w:p>
      <w:pPr>
        <w:pStyle w:val="Heading4"/>
      </w:pPr>
      <w:r>
        <w:t xml:space="preserve">Tax Information</w:t>
      </w:r>
    </w:p>
    <w:p>
      <w:pPr>
        <w:pStyle w:val="FirstParagraph"/>
      </w:pPr>
      <w:r>
        <w:t xml:space="preserve">The Value Added Tax (TVA) of 20% applied to this invoice is in accordance with the French General Tax Code (Code général des impôts), Articles 257 and following. The applicable tax rate for legal services provided by a lawyer (avocat) in France is 20% as per the standard rate. This invoice constitutes a valid tax document for the purposes of French and EU VAT regulations. The client may claim the TVA as a deductible input tax (crédit de TVA) if applicable under French tax law.</w:t>
      </w:r>
    </w:p>
    <w:bookmarkEnd w:id="26"/>
    <w:bookmarkStart w:id="27" w:name="confidentiality-professional-secrecy"/>
    <w:p>
      <w:pPr>
        <w:pStyle w:val="Heading4"/>
      </w:pPr>
      <w:r>
        <w:t xml:space="preserve">Confidentiality &amp; Professional Secrecy</w:t>
      </w:r>
    </w:p>
    <w:p>
      <w:pPr>
        <w:pStyle w:val="FirstParagraph"/>
      </w:pPr>
      <w:r>
        <w:t xml:space="preserve">All information contained in this invoice and the underlying legal matter is subject to the professional secrecy (secret professionnel) owed by the lawyer to the client under Article 66-5 of the French Code of Civil Procedure and the ethical rules of the Barreau de Paris. This document shall not be disclosed to any third party without the express written consent of the client, except where required by a court order issued by a competent tribunal in Paris, France, or as mandated by French law.</w:t>
      </w:r>
    </w:p>
    <w:bookmarkEnd w:id="27"/>
    <w:bookmarkStart w:id="28" w:name="dispute-resolution"/>
    <w:p>
      <w:pPr>
        <w:pStyle w:val="Heading4"/>
      </w:pPr>
      <w:r>
        <w:t xml:space="preserve">Dispute Resolution</w:t>
      </w:r>
    </w:p>
    <w:p>
      <w:pPr>
        <w:pStyle w:val="FirstParagraph"/>
      </w:pPr>
      <w:r>
        <w:t xml:space="preserve">Any dispute arising from the interpretation or execution of this invoice or the underlying engagement shall be submitted to the exclusive jurisdiction of the Tribunal de Commerce de Paris, France. The applicable law governing this invoice and the professional relationship is French law. In the event of a fee dispute, the client may request a review by the Bâtonnier de l’Ordre des Avocats de Paris or seek a determination by the Tribunal de Commerce de Paris under the provisions of the French Code of Civil Procedure.</w:t>
      </w:r>
    </w:p>
    <w:bookmarkEnd w:id="28"/>
    <w:bookmarkStart w:id="29" w:name="general-provisions"/>
    <w:p>
      <w:pPr>
        <w:pStyle w:val="Heading4"/>
      </w:pPr>
      <w:r>
        <w:t xml:space="preserve">General Provisions</w:t>
      </w:r>
    </w:p>
    <w:p>
      <w:pPr>
        <w:pStyle w:val="FirstParagraph"/>
      </w:pPr>
      <w:r>
        <w:t xml:space="preserve">This invoice represents the final accounting of legal fees and expenses for the reporting period specified above. Any additional services rendered after 30 May 2025 shall be the subject of a separate invoice. The client acknowledges receipt of this invoice and confirms that the services described have been satisfactorily performed. This document is issued in two (2) original copies, one for the client and one for the law firm’s records, both bearing equal legal validity under French law.</w:t>
      </w:r>
    </w:p>
    <w:bookmarkEnd w:id="29"/>
    <w:p>
      <w:pPr>
        <w:pStyle w:val="BodyText"/>
      </w:pPr>
      <w:r>
        <w:rPr>
          <w:bCs/>
          <w:b/>
        </w:rPr>
        <w:t xml:space="preserve">MAÎTRE CLAIRE DUBOIS &amp; ASSOCIÉS</w:t>
      </w:r>
      <w:r>
        <w:t xml:space="preserve"> </w:t>
      </w:r>
      <w:r>
        <w:t xml:space="preserve">— Cabinet d’Avocats — 12, Avenue de l’Opéra, 75001 Paris, France</w:t>
      </w:r>
    </w:p>
    <w:p>
      <w:pPr>
        <w:pStyle w:val="BodyText"/>
      </w:pPr>
      <w:r>
        <w:t xml:space="preserve">Registered with the Barreau de Paris — SIRET: 842 567 391 00027 — TVA: FR 42 842567391</w:t>
      </w:r>
    </w:p>
    <w:p>
      <w:pPr>
        <w:pStyle w:val="BodyText"/>
      </w:pPr>
      <w:r>
        <w:t xml:space="preserve">Professional Liability Insurance: AXA France IARD — Policy No. AXA-PL-2025-88421 — Coverage: €5,000,000</w:t>
      </w:r>
    </w:p>
    <w:p>
      <w:pPr>
        <w:pStyle w:val="BodyText"/>
      </w:pPr>
      <w:r>
        <w:t xml:space="preserve">This invoice was generated electronically and is valid without signature under Article 1366 of the French Civil Code. For any queries regarding this invoice, please contact the billing department at facturation@maître-dubois-paris.fr or by telephone at +33 (0)1 42 60 35 87, Monday to Friday, 09:00–18:00 (Paris time, CET/CEST).</w:t>
      </w:r>
    </w:p>
    <w:p>
      <w:pPr>
        <w:pStyle w:val="BodyText"/>
      </w:pPr>
      <w:r>
        <w:t xml:space="preserve">Thank you for entrusting Maître Dubois &amp; Associés with your legal matters in Paris, France. We remain at your full disposal for any further assistance.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Paris, France</dc:title>
  <dc:creator/>
  <dc:language>en</dc:language>
  <cp:keywords/>
  <dcterms:created xsi:type="dcterms:W3CDTF">2026-10-10T06:29:39Z</dcterms:created>
  <dcterms:modified xsi:type="dcterms:W3CDTF">2026-10-10T06:29:39Z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