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dr.-heinrich-partner-rechtsanwälte"/>
    <w:p>
      <w:pPr>
        <w:pStyle w:val="Heading1"/>
      </w:pPr>
      <w:r>
        <w:t xml:space="preserve">Dr. Heinrich &amp; Partner Rechtsanwälte</w:t>
      </w:r>
    </w:p>
    <w:p>
      <w:pPr>
        <w:pStyle w:val="FirstParagraph"/>
      </w:pPr>
      <w:r>
        <w:t xml:space="preserve">Attorneys at Law — Licensed Lawyer Practice in Germany Frankfurt</w:t>
      </w:r>
    </w:p>
    <w:p>
      <w:pPr>
        <w:pStyle w:val="BodyText"/>
      </w:pPr>
      <w:r>
        <w:t xml:space="preserve">Bockenheimer Landstraße 42, 60323 Frankfurt am Main, Germany</w:t>
      </w:r>
    </w:p>
    <w:p>
      <w:pPr>
        <w:pStyle w:val="BodyText"/>
      </w:pPr>
      <w:r>
        <w:t xml:space="preserve">Tel: +49 (0)69 1234 5678 | Fax: +49 (0)69 1234 5679 | Email: office@dr-heinrich-partner.de</w:t>
      </w:r>
    </w:p>
    <w:p>
      <w:pPr>
        <w:pStyle w:val="BodyText"/>
      </w:pPr>
      <w:r>
        <w:t xml:space="preserve">USt-IdNr. (VAT ID): DE 123 456 789 | Register Court: Amtsgericht Frankfurt am Main, HRB 45678</w:t>
      </w:r>
    </w:p>
    <w:bookmarkEnd w:id="20"/>
    <w:p>
      <w:pPr>
        <w:pStyle w:val="BodyText"/>
      </w:pPr>
      <w:r>
        <w:t xml:space="preserve">INVOICE</w:t>
      </w:r>
    </w:p>
    <w:p>
      <w:pPr>
        <w:pStyle w:val="BodyText"/>
      </w:pPr>
      <w:r>
        <w:rPr>
          <w:bCs/>
          <w:b/>
        </w:rPr>
        <w:t xml:space="preserve">Invoice No.:</w:t>
      </w:r>
      <w:r>
        <w:t xml:space="preserve"> </w:t>
      </w:r>
      <w:r>
        <w:t xml:space="preserve">INV-2025-00487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Case File No. 2025/FR/0312</w:t>
      </w:r>
    </w:p>
    <w:p>
      <w:pPr>
        <w:pStyle w:val="BodyText"/>
      </w:pPr>
      <w:r>
        <w:rPr>
          <w:bCs/>
          <w:b/>
        </w:rPr>
        <w:t xml:space="preserve">Place of Performance:</w:t>
      </w:r>
      <w:r>
        <w:t xml:space="preserve"> </w:t>
      </w:r>
      <w:r>
        <w:t xml:space="preserve">Frankfurt am Main, Germany</w:t>
      </w:r>
    </w:p>
    <w:bookmarkStart w:id="21" w:name="bill-from-lawyer-service-provider"/>
    <w:p>
      <w:pPr>
        <w:pStyle w:val="Heading3"/>
      </w:pPr>
      <w:r>
        <w:t xml:space="preserve">Bill From (Lawyer / Service Provider)</w:t>
      </w:r>
    </w:p>
    <w:p>
      <w:pPr>
        <w:pStyle w:val="FirstParagraph"/>
      </w:pPr>
      <w:r>
        <w:rPr>
          <w:bCs/>
          <w:b/>
        </w:rPr>
        <w:t xml:space="preserve">Dr. Heinrich &amp; Partner Rechtsanwälte</w:t>
      </w:r>
    </w:p>
    <w:p>
      <w:pPr>
        <w:pStyle w:val="BodyText"/>
      </w:pPr>
      <w:r>
        <w:t xml:space="preserve">Bockenheimer Landstraße 42</w:t>
      </w:r>
    </w:p>
    <w:p>
      <w:pPr>
        <w:pStyle w:val="BodyText"/>
      </w:pPr>
      <w:r>
        <w:t xml:space="preserve">60323 Frankfurt am Main</w:t>
      </w:r>
    </w:p>
    <w:p>
      <w:pPr>
        <w:pStyle w:val="BodyText"/>
      </w:pPr>
      <w:r>
        <w:t xml:space="preserve">Germany</w:t>
      </w:r>
    </w:p>
    <w:p>
      <w:pPr>
        <w:pStyle w:val="BodyText"/>
      </w:pPr>
      <w:r>
        <w:rPr>
          <w:bCs/>
          <w:b/>
        </w:rPr>
        <w:t xml:space="preserve">Lead Lawyer:</w:t>
      </w:r>
      <w:r>
        <w:t xml:space="preserve"> </w:t>
      </w:r>
      <w:r>
        <w:t xml:space="preserve">Dr. Markus Heinrich, LL.M.</w:t>
      </w:r>
    </w:p>
    <w:p>
      <w:pPr>
        <w:pStyle w:val="BodyText"/>
      </w:pPr>
      <w:r>
        <w:rPr>
          <w:bCs/>
          <w:b/>
        </w:rPr>
        <w:t xml:space="preserve">Bar Association:</w:t>
      </w:r>
      <w:r>
        <w:t xml:space="preserve"> </w:t>
      </w:r>
      <w:r>
        <w:t xml:space="preserve">Rechtsanwaltskammer Frankfurt am Main</w:t>
      </w:r>
    </w:p>
    <w:p>
      <w:pPr>
        <w:pStyle w:val="BodyText"/>
      </w:pPr>
      <w:r>
        <w:rPr>
          <w:bCs/>
          <w:b/>
        </w:rPr>
        <w:t xml:space="preserve">Professional License No.:</w:t>
      </w:r>
      <w:r>
        <w:t xml:space="preserve"> </w:t>
      </w:r>
      <w:r>
        <w:t xml:space="preserve">RA-2003-11847</w:t>
      </w:r>
    </w:p>
    <w:bookmarkEnd w:id="21"/>
    <w:bookmarkStart w:id="22" w:name="bill-to-client"/>
    <w:p>
      <w:pPr>
        <w:pStyle w:val="Heading3"/>
      </w:pPr>
      <w:r>
        <w:t xml:space="preserve">Bill To (Client)</w:t>
      </w:r>
    </w:p>
    <w:p>
      <w:pPr>
        <w:pStyle w:val="FirstParagraph"/>
      </w:pPr>
      <w:r>
        <w:rPr>
          <w:bCs/>
          <w:b/>
        </w:rPr>
        <w:t xml:space="preserve">Meridian Industrial Holdings GmbH</w:t>
      </w:r>
    </w:p>
    <w:p>
      <w:pPr>
        <w:pStyle w:val="BodyText"/>
      </w:pPr>
      <w:r>
        <w:t xml:space="preserve">Attn: Mr. Stefan Kessler, General Counsel</w:t>
      </w:r>
    </w:p>
    <w:p>
      <w:pPr>
        <w:pStyle w:val="BodyText"/>
      </w:pPr>
      <w:r>
        <w:t xml:space="preserve">Zeil 68</w:t>
      </w:r>
    </w:p>
    <w:p>
      <w:pPr>
        <w:pStyle w:val="BodyText"/>
      </w:pPr>
      <w:r>
        <w:t xml:space="preserve">60313 Frankfurt am Main</w:t>
      </w:r>
    </w:p>
    <w:p>
      <w:pPr>
        <w:pStyle w:val="BodyText"/>
      </w:pPr>
      <w:r>
        <w:t xml:space="preserve">Germany</w:t>
      </w:r>
    </w:p>
    <w:p>
      <w:pPr>
        <w:pStyle w:val="BodyText"/>
      </w:pPr>
      <w:r>
        <w:rPr>
          <w:bCs/>
          <w:b/>
        </w:rPr>
        <w:t xml:space="preserve">VAT ID:</w:t>
      </w:r>
      <w:r>
        <w:t xml:space="preserve"> </w:t>
      </w:r>
      <w:r>
        <w:t xml:space="preserve">DE 987 654 321</w:t>
      </w:r>
    </w:p>
    <w:p>
      <w:pPr>
        <w:pStyle w:val="BodyText"/>
      </w:pPr>
      <w:r>
        <w:rPr>
          <w:bCs/>
          <w:b/>
        </w:rPr>
        <w:t xml:space="preserve">Client File No.:</w:t>
      </w:r>
      <w:r>
        <w:t xml:space="preserve"> </w:t>
      </w:r>
      <w:r>
        <w:t xml:space="preserve">CL-2024-0091</w:t>
      </w:r>
    </w:p>
    <w:bookmarkEnd w:id="22"/>
    <w:bookmarkStart w:id="25" w:name="X0b25b31d720b1c39146bdfeab7a54df653e85de"/>
    <w:p>
      <w:pPr>
        <w:pStyle w:val="Heading2"/>
      </w:pPr>
      <w:r>
        <w:t xml:space="preserve">Description of Legal Services Rendered by the Lawyer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Initial consultation and case assessment regarding commercial lease dispute with third-party tenant. The Lawyer reviewed all contractual documents, correspondence, and applicable provisions under German civil law (BGB) and the local tenancy regulations of Germany Frankfurt.</w:t>
            </w:r>
          </w:p>
        </w:tc>
        <w:tc>
          <w:tcPr/>
          <w:p>
            <w:pPr>
              <w:pStyle w:val="Compact"/>
              <w:jc w:val="left"/>
            </w:pPr>
            <w:r>
              <w:t xml:space="preserve">02 Jun 2025</w:t>
            </w:r>
          </w:p>
        </w:tc>
        <w:tc>
          <w:tcPr/>
          <w:p>
            <w:pPr>
              <w:pStyle w:val="Compact"/>
              <w:jc w:val="left"/>
            </w:pPr>
            <w:r>
              <w:t xml:space="preserve">2.5</w:t>
            </w:r>
          </w:p>
        </w:tc>
        <w:tc>
          <w:tcPr/>
          <w:p>
            <w:pPr>
              <w:pStyle w:val="Compact"/>
              <w:jc w:val="left"/>
            </w:pPr>
            <w:r>
              <w:t xml:space="preserve">280.00</w:t>
            </w:r>
          </w:p>
        </w:tc>
        <w:tc>
          <w:tcPr/>
          <w:p>
            <w:pPr>
              <w:pStyle w:val="Compact"/>
              <w:jc w:val="left"/>
            </w:pPr>
            <w:r>
              <w:t xml:space="preserve">700.00</w:t>
            </w:r>
          </w:p>
        </w:tc>
      </w:tr>
      <w:tr>
        <w:tc>
          <w:tcPr/>
          <w:p>
            <w:pPr>
              <w:pStyle w:val="Compact"/>
              <w:jc w:val="left"/>
            </w:pPr>
            <w:r>
              <w:t xml:space="preserve">2</w:t>
            </w:r>
          </w:p>
        </w:tc>
        <w:tc>
          <w:tcPr/>
          <w:p>
            <w:pPr>
              <w:pStyle w:val="Compact"/>
              <w:jc w:val="left"/>
            </w:pPr>
            <w:r>
              <w:t xml:space="preserve">Preparation and filing of a formal legal notice (Mahnung) and subsequent statement of claim (Klageerhebung) at the Local Court (Amtsgericht) Frankfurt am Main. The Lawyer drafted all pleadings, attached supporting evidence, and ensured compliance with the German Code of Civil Procedure (ZPO).</w:t>
            </w:r>
          </w:p>
        </w:tc>
        <w:tc>
          <w:tcPr/>
          <w:p>
            <w:pPr>
              <w:pStyle w:val="Compact"/>
              <w:jc w:val="left"/>
            </w:pPr>
            <w:r>
              <w:t xml:space="preserve">03–05 Jun 2025</w:t>
            </w:r>
          </w:p>
        </w:tc>
        <w:tc>
          <w:tcPr/>
          <w:p>
            <w:pPr>
              <w:pStyle w:val="Compact"/>
              <w:jc w:val="left"/>
            </w:pPr>
            <w:r>
              <w:t xml:space="preserve">6.0</w:t>
            </w:r>
          </w:p>
        </w:tc>
        <w:tc>
          <w:tcPr/>
          <w:p>
            <w:pPr>
              <w:pStyle w:val="Compact"/>
              <w:jc w:val="left"/>
            </w:pPr>
            <w:r>
              <w:t xml:space="preserve">280.00</w:t>
            </w:r>
          </w:p>
        </w:tc>
        <w:tc>
          <w:tcPr/>
          <w:p>
            <w:pPr>
              <w:pStyle w:val="Compact"/>
              <w:jc w:val="left"/>
            </w:pPr>
            <w:r>
              <w:t xml:space="preserve">1,680.00</w:t>
            </w:r>
          </w:p>
        </w:tc>
      </w:tr>
      <w:tr>
        <w:tc>
          <w:tcPr/>
          <w:p>
            <w:pPr>
              <w:pStyle w:val="Compact"/>
              <w:jc w:val="left"/>
            </w:pPr>
            <w:r>
              <w:t xml:space="preserve">3</w:t>
            </w:r>
          </w:p>
        </w:tc>
        <w:tc>
          <w:tcPr/>
          <w:p>
            <w:pPr>
              <w:pStyle w:val="Compact"/>
              <w:jc w:val="left"/>
            </w:pPr>
            <w:r>
              <w:t xml:space="preserve">Attendance at the first oral hearing before the Local Court Frankfurt am Main. The Lawyer represented the client's interests, presented arguments, cross-examined the opposing party's witnesses, and submitted supplementary documentary evidence on behalf of Meridian Industrial Holdings GmbH.</w:t>
            </w:r>
          </w:p>
        </w:tc>
        <w:tc>
          <w:tcPr/>
          <w:p>
            <w:pPr>
              <w:pStyle w:val="Compact"/>
              <w:jc w:val="left"/>
            </w:pPr>
            <w:r>
              <w:t xml:space="preserve">09 Jun 2025</w:t>
            </w:r>
          </w:p>
        </w:tc>
        <w:tc>
          <w:tcPr/>
          <w:p>
            <w:pPr>
              <w:pStyle w:val="Compact"/>
              <w:jc w:val="left"/>
            </w:pPr>
            <w:r>
              <w:t xml:space="preserve">4.0</w:t>
            </w:r>
          </w:p>
        </w:tc>
        <w:tc>
          <w:tcPr/>
          <w:p>
            <w:pPr>
              <w:pStyle w:val="Compact"/>
              <w:jc w:val="left"/>
            </w:pPr>
            <w:r>
              <w:t xml:space="preserve">280.00</w:t>
            </w:r>
          </w:p>
        </w:tc>
        <w:tc>
          <w:tcPr/>
          <w:p>
            <w:pPr>
              <w:pStyle w:val="Compact"/>
              <w:jc w:val="left"/>
            </w:pPr>
            <w:r>
              <w:t xml:space="preserve">1,120.00</w:t>
            </w:r>
          </w:p>
        </w:tc>
      </w:tr>
      <w:tr>
        <w:tc>
          <w:tcPr/>
          <w:p>
            <w:pPr>
              <w:pStyle w:val="Compact"/>
              <w:jc w:val="left"/>
            </w:pPr>
            <w:r>
              <w:t xml:space="preserve">4</w:t>
            </w:r>
          </w:p>
        </w:tc>
        <w:tc>
          <w:tcPr/>
          <w:p>
            <w:pPr>
              <w:pStyle w:val="Compact"/>
              <w:jc w:val="left"/>
            </w:pPr>
            <w:r>
              <w:t xml:space="preserve">Post-hearing legal analysis and preparation of a written post-hearing brief (Schriftsatz) summarizing the arguments of the Lawyer and requesting the court to issue a favorable judgment. Included a detailed risk assessment and strategic recommendation for potential appeal proceedings.</w:t>
            </w:r>
          </w:p>
        </w:tc>
        <w:tc>
          <w:tcPr/>
          <w:p>
            <w:pPr>
              <w:pStyle w:val="Compact"/>
              <w:jc w:val="left"/>
            </w:pPr>
            <w:r>
              <w:t xml:space="preserve">10–11 Jun 2025</w:t>
            </w:r>
          </w:p>
        </w:tc>
        <w:tc>
          <w:tcPr/>
          <w:p>
            <w:pPr>
              <w:pStyle w:val="Compact"/>
              <w:jc w:val="left"/>
            </w:pPr>
            <w:r>
              <w:t xml:space="preserve">3.5</w:t>
            </w:r>
          </w:p>
        </w:tc>
        <w:tc>
          <w:tcPr/>
          <w:p>
            <w:pPr>
              <w:pStyle w:val="Compact"/>
              <w:jc w:val="left"/>
            </w:pPr>
            <w:r>
              <w:t xml:space="preserve">280.00</w:t>
            </w:r>
          </w:p>
        </w:tc>
        <w:tc>
          <w:tcPr/>
          <w:p>
            <w:pPr>
              <w:pStyle w:val="Compact"/>
              <w:jc w:val="left"/>
            </w:pPr>
            <w:r>
              <w:t xml:space="preserve">980.00</w:t>
            </w:r>
          </w:p>
        </w:tc>
      </w:tr>
      <w:tr>
        <w:tc>
          <w:tcPr/>
          <w:p>
            <w:pPr>
              <w:pStyle w:val="Compact"/>
              <w:jc w:val="left"/>
            </w:pPr>
            <w:r>
              <w:t xml:space="preserve">5</w:t>
            </w:r>
          </w:p>
        </w:tc>
        <w:tc>
          <w:tcPr/>
          <w:p>
            <w:pPr>
              <w:pStyle w:val="Compact"/>
              <w:jc w:val="left"/>
            </w:pPr>
            <w:r>
              <w:t xml:space="preserve">Coordination with the court registry and opposing counsel regarding the scheduling of a mediation session. The Lawyer conducted two telephone conferences with the client to discuss mediation strategy and prepared a comprehensive mediation brief outlining the client's position and settlement parameters.</w:t>
            </w:r>
          </w:p>
        </w:tc>
        <w:tc>
          <w:tcPr/>
          <w:p>
            <w:pPr>
              <w:pStyle w:val="Compact"/>
              <w:jc w:val="left"/>
            </w:pPr>
            <w:r>
              <w:t xml:space="preserve">12–13 Jun 2025</w:t>
            </w:r>
          </w:p>
        </w:tc>
        <w:tc>
          <w:tcPr/>
          <w:p>
            <w:pPr>
              <w:pStyle w:val="Compact"/>
              <w:jc w:val="left"/>
            </w:pPr>
            <w:r>
              <w:t xml:space="preserve">2.0</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6</w:t>
            </w:r>
          </w:p>
        </w:tc>
        <w:tc>
          <w:tcPr/>
          <w:p>
            <w:pPr>
              <w:pStyle w:val="Compact"/>
              <w:jc w:val="left"/>
            </w:pPr>
            <w:r>
              <w:t xml:space="preserve">Out-of-pocket expenses: Court filing fees (Gerichtskosten), service of process fees (Zustellkosten), and certified copies of documents obtained from the court archive in Germany Frankfurt. All expenses were incurred directly in connection with the representation of the client.</w:t>
            </w:r>
          </w:p>
        </w:tc>
        <w:tc>
          <w:tcPr/>
          <w:p>
            <w:pPr>
              <w:pStyle w:val="Compact"/>
              <w:jc w:val="left"/>
            </w:pPr>
            <w:r>
              <w:t xml:space="preserve">03–13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5,040.00 EUR</w:t>
            </w:r>
          </w:p>
        </w:tc>
      </w:tr>
      <w:tr>
        <w:tc>
          <w:tcPr/>
          <w:p>
            <w:pPr>
              <w:pStyle w:val="Compact"/>
              <w:jc w:val="left"/>
            </w:pPr>
            <w:r>
              <w:t xml:space="preserve">Out-of-Pocket Expenses</w:t>
            </w:r>
          </w:p>
        </w:tc>
        <w:tc>
          <w:tcPr/>
          <w:p>
            <w:pPr>
              <w:pStyle w:val="Compact"/>
              <w:jc w:val="right"/>
            </w:pPr>
            <w:r>
              <w:t xml:space="preserve">487.50 EUR</w:t>
            </w:r>
          </w:p>
        </w:tc>
      </w:tr>
      <w:tr>
        <w:tc>
          <w:tcPr/>
          <w:p>
            <w:pPr>
              <w:pStyle w:val="Compact"/>
              <w:jc w:val="left"/>
            </w:pPr>
            <w:r>
              <w:t xml:space="preserve">Subtotal</w:t>
            </w:r>
          </w:p>
        </w:tc>
        <w:tc>
          <w:tcPr/>
          <w:p>
            <w:pPr>
              <w:pStyle w:val="Compact"/>
              <w:jc w:val="right"/>
            </w:pPr>
            <w:r>
              <w:t xml:space="preserve">5,527.50 EUR</w:t>
            </w:r>
          </w:p>
        </w:tc>
      </w:tr>
      <w:tr>
        <w:tc>
          <w:tcPr/>
          <w:p>
            <w:pPr>
              <w:pStyle w:val="Compact"/>
              <w:jc w:val="left"/>
            </w:pPr>
            <w:r>
              <w:t xml:space="preserve">VAT (19% — German Value Added Tax)</w:t>
            </w:r>
          </w:p>
        </w:tc>
        <w:tc>
          <w:tcPr/>
          <w:p>
            <w:pPr>
              <w:pStyle w:val="Compact"/>
              <w:jc w:val="right"/>
            </w:pPr>
            <w:r>
              <w:t xml:space="preserve">1,050.23 EUR</w:t>
            </w:r>
          </w:p>
        </w:tc>
      </w:tr>
      <w:tr>
        <w:tc>
          <w:tcPr/>
          <w:p>
            <w:pPr>
              <w:pStyle w:val="Compact"/>
              <w:jc w:val="left"/>
            </w:pPr>
            <w:r>
              <w:t xml:space="preserve">Total Amount Due</w:t>
            </w:r>
          </w:p>
        </w:tc>
        <w:tc>
          <w:tcPr/>
          <w:p>
            <w:pPr>
              <w:pStyle w:val="Compact"/>
              <w:jc w:val="right"/>
            </w:pPr>
            <w:r>
              <w:t xml:space="preserve">6,577.73 EUR</w:t>
            </w:r>
          </w:p>
        </w:tc>
      </w:tr>
    </w:tbl>
    <w:bookmarkStart w:id="23" w:name="payment-instructions"/>
    <w:p>
      <w:pPr>
        <w:pStyle w:val="Heading3"/>
      </w:pPr>
      <w:r>
        <w:t xml:space="preserve">Payment Instructions</w:t>
      </w:r>
    </w:p>
    <w:p>
      <w:pPr>
        <w:pStyle w:val="FirstParagraph"/>
      </w:pPr>
      <w:r>
        <w:rPr>
          <w:bCs/>
          <w:b/>
        </w:rPr>
        <w:t xml:space="preserve">Bank:</w:t>
      </w:r>
      <w:r>
        <w:t xml:space="preserve"> </w:t>
      </w:r>
      <w:r>
        <w:t xml:space="preserve">Commerzbank AG, Frankfurt am Main</w:t>
      </w:r>
    </w:p>
    <w:p>
      <w:pPr>
        <w:pStyle w:val="BodyText"/>
      </w:pPr>
      <w:r>
        <w:rPr>
          <w:bCs/>
          <w:b/>
        </w:rPr>
        <w:t xml:space="preserve">IBAN:</w:t>
      </w:r>
      <w:r>
        <w:t xml:space="preserve"> </w:t>
      </w:r>
      <w:r>
        <w:t xml:space="preserve">DE89 3704 0044 0532 0130 00</w:t>
      </w:r>
    </w:p>
    <w:p>
      <w:pPr>
        <w:pStyle w:val="BodyText"/>
      </w:pPr>
      <w:r>
        <w:rPr>
          <w:bCs/>
          <w:b/>
        </w:rPr>
        <w:t xml:space="preserve">BIC:</w:t>
      </w:r>
      <w:r>
        <w:t xml:space="preserve"> </w:t>
      </w:r>
      <w:r>
        <w:t xml:space="preserve">COBADEFFXXX</w:t>
      </w:r>
    </w:p>
    <w:p>
      <w:pPr>
        <w:pStyle w:val="BodyText"/>
      </w:pPr>
      <w:r>
        <w:rPr>
          <w:bCs/>
          <w:b/>
        </w:rPr>
        <w:t xml:space="preserve">Reference (Verwendungszweck):</w:t>
      </w:r>
      <w:r>
        <w:t xml:space="preserve"> </w:t>
      </w:r>
      <w:r>
        <w:t xml:space="preserve">INV-2025-00487 / Case 2025/FR/0312</w:t>
      </w:r>
    </w:p>
    <w:p>
      <w:pPr>
        <w:pStyle w:val="BodyText"/>
      </w:pPr>
      <w:r>
        <w:rPr>
          <w:bCs/>
          <w:b/>
        </w:rPr>
        <w:t xml:space="preserve">Payment Method:</w:t>
      </w:r>
      <w:r>
        <w:t xml:space="preserve"> </w:t>
      </w:r>
      <w:r>
        <w:t xml:space="preserve">Bank Transfer (SEPA) only. Please ensure the Invoice reference number is included in the transfer to facilitate accurate accounting.</w:t>
      </w:r>
    </w:p>
    <w:p>
      <w:pPr>
        <w:pStyle w:val="BodyText"/>
      </w:pPr>
      <w:r>
        <w:rPr>
          <w:bCs/>
          <w:b/>
        </w:rPr>
        <w:t xml:space="preserve">Payment Deadline:</w:t>
      </w:r>
      <w:r>
        <w:t xml:space="preserve"> </w:t>
      </w:r>
      <w:r>
        <w:t xml:space="preserve">30 June 2025. In the event of late payment, statutory interest of 5 percentage points above the base rate (Verzugszins) pursuant to Section 288 of the German Civil Code (BGB) shall apply.</w:t>
      </w:r>
    </w:p>
    <w:bookmarkEnd w:id="23"/>
    <w:bookmarkStart w:id="24" w:name="important-notes-and-legal-disclaimers"/>
    <w:p>
      <w:pPr>
        <w:pStyle w:val="Heading3"/>
      </w:pPr>
      <w:r>
        <w:t xml:space="preserve">Important Notes and Legal Disclaimers</w:t>
      </w:r>
    </w:p>
    <w:p>
      <w:pPr>
        <w:pStyle w:val="FirstParagraph"/>
      </w:pPr>
      <w:r>
        <w:t xml:space="preserve">This Invoice has been issued by Dr. Heinrich &amp; Partner Rechtsanwälte, a licensed Lawyer practice registered with the Rechtsanwaltskammer Frankfurt am Main, in accordance with the German Lawyers' Professional Act (Rechtsanwaltsvergütungsgesetz — RVG) and the applicable fee schedule (Rechtsanwaltsvergütungsverordnung — RVV). All professional fees listed in this Invoice have been calculated in strict compliance with the statutory fee regulations governing legal services in Germany Frankfurt and the broader German legal system.</w:t>
      </w:r>
    </w:p>
    <w:p>
      <w:pPr>
        <w:pStyle w:val="BodyText"/>
      </w:pPr>
      <w:r>
        <w:t xml:space="preserve">The Lawyer has fulfilled all obligations of care, diligence, and professional competence as required under Section 434a of the German Civil Code and the professional rules of the Frankfurt Bar Association. The services described in this Invoice were performed exclusively for the benefit of the client named above and in connection with the specific matter referenced in the case file number.</w:t>
      </w:r>
    </w:p>
    <w:p>
      <w:pPr>
        <w:pStyle w:val="BodyText"/>
      </w:pPr>
      <w:r>
        <w:t xml:space="preserve">This Invoice constitutes the final and complete statement of all fees and expenses incurred by the Lawyer in connection with the services rendered during the billing period of 02 June 2025 through 13 June 2025. No additional charges shall be levied for the services described herein unless expressly agreed upon in a separate written fee agreement. Should the client wish to dispute any item on this Invoice, a written objection must be submitted to the office of the Lawyer within fourteen (14) calendar days of the date of issue of this Invoice.</w:t>
      </w:r>
    </w:p>
    <w:p>
      <w:pPr>
        <w:pStyle w:val="BodyText"/>
      </w:pPr>
      <w:r>
        <w:t xml:space="preserve">All communications, documents, and legal advice provided by the Lawyer are subject to attorney-client privilege (Anwaltsgeheimnis) under Section 43a of the German Lawyers' Professional Act. The contents of this Invoice and the underlying case file are confidential and may not be disclosed to third parties without the prior written consent of the Lawyer, except as required by law or court order.</w:t>
      </w:r>
    </w:p>
    <w:p>
      <w:pPr>
        <w:pStyle w:val="BodyText"/>
      </w:pPr>
      <w:r>
        <w:t xml:space="preserve">Governing Law: This Invoice and all matters relating to the professional relationship between the Lawyer and the client are governed by the laws of the Federal Republic of Germany. Any disputes arising from or in connection with this Invoice shall be subject to the exclusive jurisdiction of the competent courts in Frankfurt am Main, Germany.</w:t>
      </w:r>
    </w:p>
    <w:bookmarkEnd w:id="24"/>
    <w:p>
      <w:pPr>
        <w:pStyle w:val="BodyText"/>
      </w:pPr>
      <w:r>
        <w:rPr>
          <w:bCs/>
          <w:b/>
        </w:rPr>
        <w:t xml:space="preserve">Dr. Heinrich &amp; Partner Rechtsanwälte</w:t>
      </w:r>
      <w:r>
        <w:t xml:space="preserve"> </w:t>
      </w:r>
      <w:r>
        <w:t xml:space="preserve">— Attorneys at Law, Germany Frankfurt</w:t>
      </w:r>
    </w:p>
    <w:p>
      <w:pPr>
        <w:pStyle w:val="BodyText"/>
      </w:pPr>
      <w:r>
        <w:t xml:space="preserve">Managing Partner: Dr. Markus Heinrich, LL.M. | Partner: Dr. Anna-Sophie Weber, LL.M. | Partner: Thomas Brandt, LL.M.</w:t>
      </w:r>
    </w:p>
    <w:p>
      <w:pPr>
        <w:pStyle w:val="BodyText"/>
      </w:pPr>
      <w:r>
        <w:t xml:space="preserve">Member of the Rechtsanwaltskammer Frankfurt am Main | Professional Liability Insurance: Allianz AG, Policy No. RA-2025-778123</w:t>
      </w:r>
    </w:p>
    <w:p>
      <w:pPr>
        <w:pStyle w:val="BodyText"/>
      </w:pPr>
      <w:r>
        <w:t xml:space="preserve">This Invoice was generated electronically and is valid without a physical signature in accordance with Section 126a of the German Civil Code (BGB).</w:t>
      </w:r>
    </w:p>
    <w:p>
      <w:pPr>
        <w:pStyle w:val="BodyText"/>
      </w:pPr>
      <w:r>
        <w:t xml:space="preserve">© 2025 Dr. Heinrich &amp; Partner Rechtsanwälte. All rights reserved. Invoice No. INV-2025-00487.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Legal Services - Frankfurt, Germany</dc:title>
  <dc:creator/>
  <dc:language>en</dc:language>
  <cp:keywords/>
  <dcterms:created xsi:type="dcterms:W3CDTF">2026-10-10T06:23:28Z</dcterms:created>
  <dcterms:modified xsi:type="dcterms:W3CDTF">2026-10-10T06:23:28Z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