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dr.-heinrich-partner-rechtsanwälte"/>
    <w:p>
      <w:pPr>
        <w:pStyle w:val="Heading1"/>
      </w:pPr>
      <w:r>
        <w:t xml:space="preserve">Dr. Heinrich &amp; Partner Rechtsanwälte</w:t>
      </w:r>
    </w:p>
    <w:p>
      <w:pPr>
        <w:pStyle w:val="FirstParagraph"/>
      </w:pPr>
      <w:r>
        <w:t xml:space="preserve">Attorney at Law Firm</w:t>
      </w:r>
    </w:p>
    <w:p>
      <w:pPr>
        <w:pStyle w:val="BodyText"/>
      </w:pPr>
      <w:r>
        <w:t xml:space="preserve">Maximilianstraße 42, 80539 Munich, Germany</w:t>
      </w:r>
    </w:p>
    <w:p>
      <w:pPr>
        <w:pStyle w:val="BodyText"/>
      </w:pPr>
      <w:r>
        <w:t xml:space="preserve">Telephone: +49 (0)89 1234 5678</w:t>
      </w:r>
    </w:p>
    <w:p>
      <w:pPr>
        <w:pStyle w:val="BodyText"/>
      </w:pPr>
      <w:r>
        <w:t xml:space="preserve">Email: office@dr-heinrich-law.de</w:t>
      </w:r>
    </w:p>
    <w:p>
      <w:pPr>
        <w:pStyle w:val="BodyText"/>
      </w:pPr>
      <w:r>
        <w:t xml:space="preserve">USt-IdNr.: DE 123 456 789</w:t>
      </w:r>
    </w:p>
    <w:p>
      <w:pPr>
        <w:pStyle w:val="BodyText"/>
      </w:pPr>
      <w:r>
        <w:t xml:space="preserve">Register: Munich District Court, HRB 45678</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2025-0487</w:t>
      </w:r>
    </w:p>
    <w:p>
      <w:pPr>
        <w:pStyle w:val="BodyText"/>
      </w:pPr>
      <w:r>
        <w:t xml:space="preserve">Date: 15 June 2025</w:t>
      </w:r>
    </w:p>
    <w:bookmarkEnd w:id="21"/>
    <w:bookmarkStart w:id="22" w:name="billed-to-client"/>
    <w:p>
      <w:pPr>
        <w:pStyle w:val="Heading3"/>
      </w:pPr>
      <w:r>
        <w:t xml:space="preserve">Billed To (Client)</w:t>
      </w:r>
    </w:p>
    <w:p>
      <w:pPr>
        <w:pStyle w:val="FirstParagraph"/>
      </w:pPr>
      <w:r>
        <w:rPr>
          <w:bCs/>
          <w:b/>
        </w:rPr>
        <w:t xml:space="preserve">Mr. Thomas Weber</w:t>
      </w:r>
    </w:p>
    <w:p>
      <w:pPr>
        <w:pStyle w:val="BodyText"/>
      </w:pPr>
      <w:r>
        <w:t xml:space="preserve">Weber Industrial GmbH</w:t>
      </w:r>
    </w:p>
    <w:p>
      <w:pPr>
        <w:pStyle w:val="BodyText"/>
      </w:pPr>
      <w:r>
        <w:t xml:space="preserve">Ludwigstraße 88</w:t>
      </w:r>
    </w:p>
    <w:p>
      <w:pPr>
        <w:pStyle w:val="BodyText"/>
      </w:pPr>
      <w:r>
        <w:t xml:space="preserve">80539 Munich, Germany</w:t>
      </w:r>
    </w:p>
    <w:p>
      <w:pPr>
        <w:pStyle w:val="BodyText"/>
      </w:pPr>
      <w:r>
        <w:t xml:space="preserve">VAT ID: DE 987 654 321</w:t>
      </w:r>
    </w:p>
    <w:bookmarkEnd w:id="22"/>
    <w:bookmarkStart w:id="23" w:name="matter-reference"/>
    <w:p>
      <w:pPr>
        <w:pStyle w:val="Heading3"/>
      </w:pPr>
      <w:r>
        <w:t xml:space="preserve">Matter Reference</w:t>
      </w:r>
    </w:p>
    <w:p>
      <w:pPr>
        <w:pStyle w:val="FirstParagraph"/>
      </w:pPr>
      <w:r>
        <w:rPr>
          <w:bCs/>
          <w:b/>
        </w:rPr>
        <w:t xml:space="preserve">Case File:</w:t>
      </w:r>
      <w:r>
        <w:t xml:space="preserve"> </w:t>
      </w:r>
      <w:r>
        <w:t xml:space="preserve">2025/HR/0342</w:t>
      </w:r>
    </w:p>
    <w:p>
      <w:pPr>
        <w:pStyle w:val="BodyText"/>
      </w:pPr>
      <w:r>
        <w:rPr>
          <w:bCs/>
          <w:b/>
        </w:rPr>
        <w:t xml:space="preserve">Subject:</w:t>
      </w:r>
      <w:r>
        <w:t xml:space="preserve"> </w:t>
      </w:r>
      <w:r>
        <w:t xml:space="preserve">Commercial Contract Dispute</w:t>
      </w:r>
    </w:p>
    <w:p>
      <w:pPr>
        <w:pStyle w:val="BodyText"/>
      </w:pPr>
      <w:r>
        <w:rPr>
          <w:bCs/>
          <w:b/>
        </w:rPr>
        <w:t xml:space="preserve">Responsible Lawyer:</w:t>
      </w:r>
      <w:r>
        <w:t xml:space="preserve"> </w:t>
      </w:r>
      <w:r>
        <w:t xml:space="preserve">Dr. Katharina Heinrich</w:t>
      </w:r>
    </w:p>
    <w:p>
      <w:pPr>
        <w:pStyle w:val="BodyText"/>
      </w:pPr>
      <w:r>
        <w:rPr>
          <w:bCs/>
          <w:b/>
        </w:rPr>
        <w:t xml:space="preserve">Period Covered:</w:t>
      </w:r>
      <w:r>
        <w:t xml:space="preserve"> </w:t>
      </w:r>
      <w:r>
        <w:t xml:space="preserve">01 March 2025 – 31 May 2025</w:t>
      </w:r>
    </w:p>
    <w:p>
      <w:pPr>
        <w:pStyle w:val="BodyText"/>
      </w:pPr>
      <w:r>
        <w:rPr>
          <w:bCs/>
          <w:b/>
        </w:rPr>
        <w:t xml:space="preserve">Payment Due:</w:t>
      </w:r>
      <w:r>
        <w:t xml:space="preserve"> </w:t>
      </w:r>
      <w:r>
        <w:t xml:space="preserve">30 June 2025</w:t>
      </w:r>
    </w:p>
    <w:bookmarkEnd w:id="23"/>
    <w:p>
      <w:pPr>
        <w:pStyle w:val="BodyText"/>
      </w:pPr>
      <w:r>
        <w:t xml:space="preserve">Dear Mr. Weber,</w:t>
      </w:r>
    </w:p>
    <w:p>
      <w:pPr>
        <w:pStyle w:val="BodyText"/>
      </w:pPr>
      <w:r>
        <w:t xml:space="preserve">Please find below the detailed Invoice for the legal services rendered by our Lawyer, Dr. Katharina Heinrich, on behalf of Weber Industrial GmbH in the above-referenced commercial contract dispute matter. This Invoice has been prepared in accordance with the German Lawyers' Remuneration Act (Rechtsanwaltsvergütungsgesetz – RVG) and reflects all professional services, court appearances, and administrative work performed by our law firm in Munich, Germany, during the billing period specified above.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Date</w:t>
            </w:r>
          </w:p>
        </w:tc>
        <w:tc>
          <w:tcPr/>
          <w:p>
            <w:pPr>
              <w:pStyle w:val="Compact"/>
              <w:jc w:val="left"/>
            </w:pPr>
            <w:r>
              <w:t xml:space="preserve">Description of Legal Services</w:t>
            </w:r>
          </w:p>
        </w:tc>
        <w:tc>
          <w:tcPr/>
          <w:p>
            <w:pPr>
              <w:pStyle w:val="Compact"/>
              <w:jc w:val="left"/>
            </w:pPr>
            <w:r>
              <w:t xml:space="preserve">Fee Basis (RVG)</w:t>
            </w:r>
          </w:p>
        </w:tc>
        <w:tc>
          <w:tcPr/>
          <w:p>
            <w:pPr>
              <w:pStyle w:val="Compact"/>
              <w:jc w:val="left"/>
            </w:pPr>
            <w:r>
              <w:t xml:space="preserve">Amount (EUR)</w:t>
            </w:r>
          </w:p>
        </w:tc>
        <w:tc>
          <w:tcPr/>
          <w:p>
            <w:pPr>
              <w:pStyle w:val="Compact"/>
              <w:jc w:val="left"/>
            </w:pPr>
            <w:r>
              <w:t xml:space="preserve">VAT 19% (EUR)</w:t>
            </w:r>
          </w:p>
        </w:tc>
      </w:tr>
      <w:tr>
        <w:tc>
          <w:tcPr/>
          <w:p>
            <w:pPr>
              <w:pStyle w:val="Compact"/>
              <w:jc w:val="left"/>
            </w:pPr>
            <w:r>
              <w:t xml:space="preserve">1</w:t>
            </w:r>
          </w:p>
        </w:tc>
        <w:tc>
          <w:tcPr/>
          <w:p>
            <w:pPr>
              <w:pStyle w:val="Compact"/>
              <w:jc w:val="left"/>
            </w:pPr>
            <w:r>
              <w:t xml:space="preserve">03 Mar 2025</w:t>
            </w:r>
          </w:p>
        </w:tc>
        <w:tc>
          <w:tcPr/>
          <w:p>
            <w:pPr>
              <w:pStyle w:val="Compact"/>
              <w:jc w:val="left"/>
            </w:pPr>
            <w:r>
              <w:t xml:space="preserve">Initial legal consultation and case assessment regarding the breach of supply contract with Nordbau AG. Review of all contractual documents, correspondence, and preliminary risk analysis prepared by the Lawyer.</w:t>
            </w:r>
          </w:p>
        </w:tc>
        <w:tc>
          <w:tcPr/>
          <w:p>
            <w:pPr>
              <w:pStyle w:val="Compact"/>
              <w:jc w:val="left"/>
            </w:pPr>
            <w:r>
              <w:t xml:space="preserve">§ 1001 RVG (1.0)</w:t>
            </w:r>
          </w:p>
        </w:tc>
        <w:tc>
          <w:tcPr/>
          <w:p>
            <w:pPr>
              <w:pStyle w:val="Compact"/>
              <w:jc w:val="left"/>
            </w:pPr>
            <w:r>
              <w:t xml:space="preserve">1,240.00</w:t>
            </w:r>
          </w:p>
        </w:tc>
        <w:tc>
          <w:tcPr/>
          <w:p>
            <w:pPr>
              <w:pStyle w:val="Compact"/>
              <w:jc w:val="left"/>
            </w:pPr>
            <w:r>
              <w:t xml:space="preserve">235.60</w:t>
            </w:r>
          </w:p>
        </w:tc>
      </w:tr>
      <w:tr>
        <w:tc>
          <w:tcPr/>
          <w:p>
            <w:pPr>
              <w:pStyle w:val="Compact"/>
              <w:jc w:val="left"/>
            </w:pPr>
            <w:r>
              <w:t xml:space="preserve">2</w:t>
            </w:r>
          </w:p>
        </w:tc>
        <w:tc>
          <w:tcPr/>
          <w:p>
            <w:pPr>
              <w:pStyle w:val="Compact"/>
              <w:jc w:val="left"/>
            </w:pPr>
            <w:r>
              <w:t xml:space="preserve">10 Mar 2025</w:t>
            </w:r>
          </w:p>
        </w:tc>
        <w:tc>
          <w:tcPr/>
          <w:p>
            <w:pPr>
              <w:pStyle w:val="Compact"/>
              <w:jc w:val="left"/>
            </w:pPr>
            <w:r>
              <w:t xml:space="preserve">Drafting and dispatch of formal demand letter (Mahnung) to opposing party, including legal argumentation, calculation of damages, and setting of a 14-day response deadline. Review and finalisation by supervising partner.</w:t>
            </w:r>
          </w:p>
        </w:tc>
        <w:tc>
          <w:tcPr/>
          <w:p>
            <w:pPr>
              <w:pStyle w:val="Compact"/>
              <w:jc w:val="left"/>
            </w:pPr>
            <w:r>
              <w:t xml:space="preserve">§ 1004 RVG (1.3)</w:t>
            </w:r>
          </w:p>
        </w:tc>
        <w:tc>
          <w:tcPr/>
          <w:p>
            <w:pPr>
              <w:pStyle w:val="Compact"/>
              <w:jc w:val="left"/>
            </w:pPr>
            <w:r>
              <w:t xml:space="preserve">1,612.00</w:t>
            </w:r>
          </w:p>
        </w:tc>
        <w:tc>
          <w:tcPr/>
          <w:p>
            <w:pPr>
              <w:pStyle w:val="Compact"/>
              <w:jc w:val="left"/>
            </w:pPr>
            <w:r>
              <w:t xml:space="preserve">306.28</w:t>
            </w:r>
          </w:p>
        </w:tc>
      </w:tr>
      <w:tr>
        <w:tc>
          <w:tcPr/>
          <w:p>
            <w:pPr>
              <w:pStyle w:val="Compact"/>
              <w:jc w:val="left"/>
            </w:pPr>
            <w:r>
              <w:t xml:space="preserve">3</w:t>
            </w:r>
          </w:p>
        </w:tc>
        <w:tc>
          <w:tcPr/>
          <w:p>
            <w:pPr>
              <w:pStyle w:val="Compact"/>
              <w:jc w:val="left"/>
            </w:pPr>
            <w:r>
              <w:t xml:space="preserve">22 Mar 2025</w:t>
            </w:r>
          </w:p>
        </w:tc>
        <w:tc>
          <w:tcPr/>
          <w:p>
            <w:pPr>
              <w:pStyle w:val="Compact"/>
              <w:jc w:val="left"/>
            </w:pPr>
            <w:r>
              <w:t xml:space="preserve">Preparation and filing of statement of claim (Klageerwiderung) at the Munich Regional Court (Landgericht München I). Includes compilation of evidence, witness statements, and expert report on contractual damages.</w:t>
            </w:r>
          </w:p>
        </w:tc>
        <w:tc>
          <w:tcPr/>
          <w:p>
            <w:pPr>
              <w:pStyle w:val="Compact"/>
              <w:jc w:val="left"/>
            </w:pPr>
            <w:r>
              <w:t xml:space="preserve">§ 1074 RVG (1.3)</w:t>
            </w:r>
          </w:p>
        </w:tc>
        <w:tc>
          <w:tcPr/>
          <w:p>
            <w:pPr>
              <w:pStyle w:val="Compact"/>
              <w:jc w:val="left"/>
            </w:pPr>
            <w:r>
              <w:t xml:space="preserve">2,870.00</w:t>
            </w:r>
          </w:p>
        </w:tc>
        <w:tc>
          <w:tcPr/>
          <w:p>
            <w:pPr>
              <w:pStyle w:val="Compact"/>
              <w:jc w:val="left"/>
            </w:pPr>
            <w:r>
              <w:t xml:space="preserve">545.30</w:t>
            </w:r>
          </w:p>
        </w:tc>
      </w:tr>
      <w:tr>
        <w:tc>
          <w:tcPr/>
          <w:p>
            <w:pPr>
              <w:pStyle w:val="Compact"/>
              <w:jc w:val="left"/>
            </w:pPr>
            <w:r>
              <w:t xml:space="preserve">4</w:t>
            </w:r>
          </w:p>
        </w:tc>
        <w:tc>
          <w:tcPr/>
          <w:p>
            <w:pPr>
              <w:pStyle w:val="Compact"/>
              <w:jc w:val="left"/>
            </w:pPr>
            <w:r>
              <w:t xml:space="preserve">05 Apr 2025</w:t>
            </w:r>
          </w:p>
        </w:tc>
        <w:tc>
          <w:tcPr/>
          <w:p>
            <w:pPr>
              <w:pStyle w:val="Compact"/>
              <w:jc w:val="left"/>
            </w:pPr>
            <w:r>
              <w:t xml:space="preserve">Attendance at first oral hearing before the Munich Regional Court, 5th Civil Division. Representation of the client by the Lawyer, oral argumentation, cross-examination of opposing witnesses, and submission of supplementary written brief.</w:t>
            </w:r>
          </w:p>
        </w:tc>
        <w:tc>
          <w:tcPr/>
          <w:p>
            <w:pPr>
              <w:pStyle w:val="Compact"/>
              <w:jc w:val="left"/>
            </w:pPr>
            <w:r>
              <w:t xml:space="preserve">§ 1074 RVG (1.3)</w:t>
            </w:r>
          </w:p>
        </w:tc>
        <w:tc>
          <w:tcPr/>
          <w:p>
            <w:pPr>
              <w:pStyle w:val="Compact"/>
              <w:jc w:val="left"/>
            </w:pPr>
            <w:r>
              <w:t xml:space="preserve">2,870.00</w:t>
            </w:r>
          </w:p>
        </w:tc>
        <w:tc>
          <w:tcPr/>
          <w:p>
            <w:pPr>
              <w:pStyle w:val="Compact"/>
              <w:jc w:val="left"/>
            </w:pPr>
            <w:r>
              <w:t xml:space="preserve">545.30</w:t>
            </w:r>
          </w:p>
        </w:tc>
      </w:tr>
      <w:tr>
        <w:tc>
          <w:tcPr/>
          <w:p>
            <w:pPr>
              <w:pStyle w:val="Compact"/>
              <w:jc w:val="left"/>
            </w:pPr>
            <w:r>
              <w:t xml:space="preserve">5</w:t>
            </w:r>
          </w:p>
        </w:tc>
        <w:tc>
          <w:tcPr/>
          <w:p>
            <w:pPr>
              <w:pStyle w:val="Compact"/>
              <w:jc w:val="left"/>
            </w:pPr>
            <w:r>
              <w:t xml:space="preserve">18 Apr 2025</w:t>
            </w:r>
          </w:p>
        </w:tc>
        <w:tc>
          <w:tcPr/>
          <w:p>
            <w:pPr>
              <w:pStyle w:val="Compact"/>
              <w:jc w:val="left"/>
            </w:pPr>
            <w:r>
              <w:t xml:space="preserve">Preparation of mediation proposal and participation in court-ordered mediation session at the Munich Mediation Centre. Drafting of settlement terms and legal review of proposed compromise agreement.</w:t>
            </w:r>
          </w:p>
        </w:tc>
        <w:tc>
          <w:tcPr/>
          <w:p>
            <w:pPr>
              <w:pStyle w:val="Compact"/>
              <w:jc w:val="left"/>
            </w:pPr>
            <w:r>
              <w:t xml:space="preserve">§ 1004 RVG (1.0)</w:t>
            </w:r>
          </w:p>
        </w:tc>
        <w:tc>
          <w:tcPr/>
          <w:p>
            <w:pPr>
              <w:pStyle w:val="Compact"/>
              <w:jc w:val="left"/>
            </w:pPr>
            <w:r>
              <w:t xml:space="preserve">1,240.00</w:t>
            </w:r>
          </w:p>
        </w:tc>
        <w:tc>
          <w:tcPr/>
          <w:p>
            <w:pPr>
              <w:pStyle w:val="Compact"/>
              <w:jc w:val="left"/>
            </w:pPr>
            <w:r>
              <w:t xml:space="preserve">235.60</w:t>
            </w:r>
          </w:p>
        </w:tc>
      </w:tr>
      <w:tr>
        <w:tc>
          <w:tcPr/>
          <w:p>
            <w:pPr>
              <w:pStyle w:val="Compact"/>
              <w:jc w:val="left"/>
            </w:pPr>
            <w:r>
              <w:t xml:space="preserve">6</w:t>
            </w:r>
          </w:p>
        </w:tc>
        <w:tc>
          <w:tcPr/>
          <w:p>
            <w:pPr>
              <w:pStyle w:val="Compact"/>
              <w:jc w:val="left"/>
            </w:pPr>
            <w:r>
              <w:t xml:space="preserve">02 May 2025</w:t>
            </w:r>
          </w:p>
        </w:tc>
        <w:tc>
          <w:tcPr/>
          <w:p>
            <w:pPr>
              <w:pStyle w:val="Compact"/>
              <w:jc w:val="left"/>
            </w:pPr>
            <w:r>
              <w:t xml:space="preserve">Drafting of final settlement agreement (Vergleich) incorporating agreed terms, release clauses, confidentiality provisions, and mutual indemnification. Legal review and execution by both parties.</w:t>
            </w:r>
          </w:p>
        </w:tc>
        <w:tc>
          <w:tcPr/>
          <w:p>
            <w:pPr>
              <w:pStyle w:val="Compact"/>
              <w:jc w:val="left"/>
            </w:pPr>
            <w:r>
              <w:t xml:space="preserve">§ 1004 RVG (1.3)</w:t>
            </w:r>
          </w:p>
        </w:tc>
        <w:tc>
          <w:tcPr/>
          <w:p>
            <w:pPr>
              <w:pStyle w:val="Compact"/>
              <w:jc w:val="left"/>
            </w:pPr>
            <w:r>
              <w:t xml:space="preserve">1,612.00</w:t>
            </w:r>
          </w:p>
        </w:tc>
        <w:tc>
          <w:tcPr/>
          <w:p>
            <w:pPr>
              <w:pStyle w:val="Compact"/>
              <w:jc w:val="left"/>
            </w:pPr>
            <w:r>
              <w:t xml:space="preserve">306.28</w:t>
            </w:r>
          </w:p>
        </w:tc>
      </w:tr>
      <w:tr>
        <w:tc>
          <w:tcPr/>
          <w:p>
            <w:pPr>
              <w:pStyle w:val="Compact"/>
              <w:jc w:val="left"/>
            </w:pPr>
            <w:r>
              <w:t xml:space="preserve">7</w:t>
            </w:r>
          </w:p>
        </w:tc>
        <w:tc>
          <w:tcPr/>
          <w:p>
            <w:pPr>
              <w:pStyle w:val="Compact"/>
              <w:jc w:val="left"/>
            </w:pPr>
            <w:r>
              <w:t xml:space="preserve">15 May 2025</w:t>
            </w:r>
          </w:p>
        </w:tc>
        <w:tc>
          <w:tcPr/>
          <w:p>
            <w:pPr>
              <w:pStyle w:val="Compact"/>
              <w:jc w:val="left"/>
            </w:pPr>
            <w:r>
              <w:t xml:space="preserve">Final case review, preparation of comprehensive legal opinion on post-settlement obligations, and written summary of the matter for the client's corporate records. Closing of file 2025/HR/0342.</w:t>
            </w:r>
          </w:p>
        </w:tc>
        <w:tc>
          <w:tcPr/>
          <w:p>
            <w:pPr>
              <w:pStyle w:val="Compact"/>
              <w:jc w:val="left"/>
            </w:pPr>
            <w:r>
              <w:t xml:space="preserve">§ 1001 RVG (0.7)</w:t>
            </w:r>
          </w:p>
        </w:tc>
        <w:tc>
          <w:tcPr/>
          <w:p>
            <w:pPr>
              <w:pStyle w:val="Compact"/>
              <w:jc w:val="left"/>
            </w:pPr>
            <w:r>
              <w:t xml:space="preserve">868.00</w:t>
            </w:r>
          </w:p>
        </w:tc>
        <w:tc>
          <w:tcPr/>
          <w:p>
            <w:pPr>
              <w:pStyle w:val="Compact"/>
              <w:jc w:val="left"/>
            </w:pPr>
            <w:r>
              <w:t xml:space="preserve">164.92</w:t>
            </w:r>
          </w:p>
        </w:tc>
      </w:tr>
      <w:tr>
        <w:tc>
          <w:tcPr/>
          <w:p>
            <w:pPr>
              <w:pStyle w:val="Compact"/>
              <w:jc w:val="left"/>
            </w:pPr>
            <w:r>
              <w:t xml:space="preserve">8</w:t>
            </w:r>
          </w:p>
        </w:tc>
        <w:tc>
          <w:tcPr/>
          <w:p>
            <w:pPr>
              <w:pStyle w:val="Compact"/>
              <w:jc w:val="left"/>
            </w:pPr>
            <w:r>
              <w:t xml:space="preserve">20 May 2025</w:t>
            </w:r>
          </w:p>
        </w:tc>
        <w:tc>
          <w:tcPr/>
          <w:p>
            <w:pPr>
              <w:pStyle w:val="Compact"/>
              <w:jc w:val="left"/>
            </w:pPr>
            <w:r>
              <w:t xml:space="preserve">Out-of-pocket expenses: Court filing fees (Gerichtskosten), service of process costs, certified copies of documents, and postage for legal correspondence within Munich and nationwide.</w:t>
            </w:r>
          </w:p>
        </w:tc>
        <w:tc>
          <w:tcPr/>
          <w:p>
            <w:pPr>
              <w:pStyle w:val="Compact"/>
              <w:jc w:val="left"/>
            </w:pPr>
            <w:r>
              <w:t xml:space="preserve">§ 410 RVG</w:t>
            </w:r>
          </w:p>
        </w:tc>
        <w:tc>
          <w:tcPr/>
          <w:p>
            <w:pPr>
              <w:pStyle w:val="Compact"/>
              <w:jc w:val="left"/>
            </w:pPr>
            <w:r>
              <w:t xml:space="preserve">387.50</w:t>
            </w:r>
          </w:p>
        </w:tc>
        <w:tc>
          <w:tcPr/>
          <w:p>
            <w:pPr>
              <w:pStyle w:val="Compact"/>
              <w:jc w:val="left"/>
            </w:pPr>
            <w:r>
              <w:t xml:space="preserve">73.63</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12,700.00 EUR</w:t>
            </w:r>
          </w:p>
        </w:tc>
      </w:tr>
      <w:tr>
        <w:tc>
          <w:tcPr/>
          <w:p>
            <w:pPr>
              <w:pStyle w:val="Compact"/>
              <w:jc w:val="left"/>
            </w:pPr>
            <w:r>
              <w:t xml:space="preserve">VAT (19% MwSt.)</w:t>
            </w:r>
          </w:p>
        </w:tc>
        <w:tc>
          <w:tcPr/>
          <w:p>
            <w:pPr>
              <w:pStyle w:val="Compact"/>
              <w:jc w:val="left"/>
            </w:pPr>
            <w:r>
              <w:t xml:space="preserve">2,412.81 EUR</w:t>
            </w:r>
          </w:p>
        </w:tc>
      </w:tr>
      <w:tr>
        <w:tc>
          <w:tcPr/>
          <w:p>
            <w:pPr>
              <w:pStyle w:val="Compact"/>
              <w:jc w:val="left"/>
            </w:pPr>
            <w:r>
              <w:t xml:space="preserve">Total Amount Due</w:t>
            </w:r>
          </w:p>
        </w:tc>
        <w:tc>
          <w:tcPr/>
          <w:p>
            <w:pPr>
              <w:pStyle w:val="Compact"/>
              <w:jc w:val="left"/>
            </w:pPr>
            <w:r>
              <w:t xml:space="preserve">15,112.81 EUR</w:t>
            </w:r>
          </w:p>
        </w:tc>
      </w:tr>
    </w:tbl>
    <w:bookmarkStart w:id="24" w:name="payment-instructions"/>
    <w:p>
      <w:pPr>
        <w:pStyle w:val="Heading4"/>
      </w:pPr>
      <w:r>
        <w:t xml:space="preserve">Payment Instructions</w:t>
      </w:r>
    </w:p>
    <w:p>
      <w:pPr>
        <w:pStyle w:val="FirstParagraph"/>
      </w:pPr>
      <w:r>
        <w:rPr>
          <w:bCs/>
          <w:b/>
        </w:rPr>
        <w:t xml:space="preserve">Beneficiary:</w:t>
      </w:r>
      <w:r>
        <w:t xml:space="preserve"> </w:t>
      </w:r>
      <w:r>
        <w:t xml:space="preserve">Dr. Heinrich &amp; Partner Rechtsanwälte</w:t>
      </w:r>
    </w:p>
    <w:p>
      <w:pPr>
        <w:pStyle w:val="BodyText"/>
      </w:pPr>
      <w:r>
        <w:rPr>
          <w:bCs/>
          <w:b/>
        </w:rPr>
        <w:t xml:space="preserve">Bank:</w:t>
      </w:r>
      <w:r>
        <w:t xml:space="preserve"> </w:t>
      </w:r>
      <w:r>
        <w:t xml:space="preserve">Bayerische Landesbank, Munich Branch</w:t>
      </w:r>
    </w:p>
    <w:p>
      <w:pPr>
        <w:pStyle w:val="BodyText"/>
      </w:pPr>
      <w:r>
        <w:rPr>
          <w:bCs/>
          <w:b/>
        </w:rPr>
        <w:t xml:space="preserve">IBAN:</w:t>
      </w:r>
      <w:r>
        <w:t xml:space="preserve"> </w:t>
      </w:r>
      <w:r>
        <w:t xml:space="preserve">DE89 1005 0000 0000 0000 00</w:t>
      </w:r>
    </w:p>
    <w:p>
      <w:pPr>
        <w:pStyle w:val="BodyText"/>
      </w:pPr>
      <w:r>
        <w:rPr>
          <w:bCs/>
          <w:b/>
        </w:rPr>
        <w:t xml:space="preserve">BIC:</w:t>
      </w:r>
      <w:r>
        <w:t xml:space="preserve"> </w:t>
      </w:r>
      <w:r>
        <w:t xml:space="preserve">BYLADEM1001</w:t>
      </w:r>
    </w:p>
    <w:p>
      <w:pPr>
        <w:pStyle w:val="BodyText"/>
      </w:pPr>
      <w:r>
        <w:rPr>
          <w:bCs/>
          <w:b/>
        </w:rPr>
        <w:t xml:space="preserve">Reference (Verwendungszweck):</w:t>
      </w:r>
      <w:r>
        <w:t xml:space="preserve"> </w:t>
      </w:r>
      <w:r>
        <w:t xml:space="preserve">Invoice 2025-0487 / Case 2025/HR/0342</w:t>
      </w:r>
    </w:p>
    <w:p>
      <w:pPr>
        <w:pStyle w:val="BodyText"/>
      </w:pPr>
      <w:r>
        <w:rPr>
          <w:bCs/>
          <w:b/>
        </w:rPr>
        <w:t xml:space="preserve">Payment Term:</w:t>
      </w:r>
      <w:r>
        <w:t xml:space="preserve"> </w:t>
      </w:r>
      <w:r>
        <w:t xml:space="preserve">Due within 14 days of the date of this Invoice, i.e., by 30 June 2025. Please note that in accordance with § 288 BGB, a default interest of 5 percentage points above the base rate applies to overdue amounts.</w:t>
      </w:r>
    </w:p>
    <w:bookmarkEnd w:id="24"/>
    <w:bookmarkStart w:id="25" w:name="important-notes-and-legal-disclaimers"/>
    <w:p>
      <w:pPr>
        <w:pStyle w:val="Heading3"/>
      </w:pPr>
      <w:r>
        <w:t xml:space="preserve">Important Notes and Legal Disclaimers</w:t>
      </w:r>
    </w:p>
    <w:p>
      <w:pPr>
        <w:numPr>
          <w:ilvl w:val="0"/>
          <w:numId w:val="1001"/>
        </w:numPr>
        <w:pStyle w:val="Compact"/>
      </w:pPr>
      <w:r>
        <w:t xml:space="preserve">This Invoice has been issued by Dr. Heinrich &amp; Partner Rechtsanwälte, a registered law firm practising in Munich, Germany, and is governed by the laws of the Federal Republic of Germany.</w:t>
      </w:r>
    </w:p>
    <w:p>
      <w:pPr>
        <w:numPr>
          <w:ilvl w:val="0"/>
          <w:numId w:val="1001"/>
        </w:numPr>
        <w:pStyle w:val="Compact"/>
      </w:pPr>
      <w:r>
        <w:t xml:space="preserve">All fees charged by our Lawyer are calculated in strict accordance with the German Lawyers' Remuneration Act (RVG) and the applicable fee schedule (Vergütungsverzeichnis). No additional or hidden charges are included in this Invoice.</w:t>
      </w:r>
    </w:p>
    <w:p>
      <w:pPr>
        <w:numPr>
          <w:ilvl w:val="0"/>
          <w:numId w:val="1001"/>
        </w:numPr>
        <w:pStyle w:val="Compact"/>
      </w:pPr>
      <w:r>
        <w:t xml:space="preserve">The VAT (Mehrwertsteuer) of 19% is applied as mandated by the German Fiscal Code (Abgabenordnung, AO) and the German VAT Act (Umsatzsteuergesetz, UStG).</w:t>
      </w:r>
    </w:p>
    <w:p>
      <w:pPr>
        <w:numPr>
          <w:ilvl w:val="0"/>
          <w:numId w:val="1001"/>
        </w:numPr>
        <w:pStyle w:val="Compact"/>
      </w:pPr>
      <w:r>
        <w:t xml:space="preserve">This Invoice constitutes the final and complete statement of all professional fees and expenses incurred in connection with Case File 2025/HR/0342. No further charges will be levied for the matter referenced herein.</w:t>
      </w:r>
    </w:p>
    <w:p>
      <w:pPr>
        <w:numPr>
          <w:ilvl w:val="0"/>
          <w:numId w:val="1001"/>
        </w:numPr>
        <w:pStyle w:val="Compact"/>
      </w:pPr>
      <w:r>
        <w:t xml:space="preserve">Should you have any questions or require clarification regarding any line item on this Invoice, please do not hesitate to contact our office in Munich at the telephone number or email address provided above. Our Lawyer, Dr. Heinrich, is available for a brief consultation to discuss the contents of this Invoice at your convenience.</w:t>
      </w:r>
    </w:p>
    <w:p>
      <w:pPr>
        <w:numPr>
          <w:ilvl w:val="0"/>
          <w:numId w:val="1001"/>
        </w:numPr>
        <w:pStyle w:val="Compact"/>
      </w:pPr>
      <w:r>
        <w:t xml:space="preserve">Payment must be made via bank transfer to the account details specified above. Cheques and cash payments are not accepted. Please ensure that the Invoice number and case reference are included in the payment reference to facilitate accurate bookkeeping.</w:t>
      </w:r>
    </w:p>
    <w:p>
      <w:pPr>
        <w:numPr>
          <w:ilvl w:val="0"/>
          <w:numId w:val="1001"/>
        </w:numPr>
        <w:pStyle w:val="Compact"/>
      </w:pPr>
      <w:r>
        <w:t xml:space="preserve">This Invoice is valid for a period of 12 months from the date of issue. After this period, the firm reserves the right to reissue the Invoice with updated payment terms.</w:t>
      </w:r>
    </w:p>
    <w:bookmarkEnd w:id="25"/>
    <w:p>
      <w:pPr>
        <w:pStyle w:val="FirstParagraph"/>
      </w:pPr>
      <w:r>
        <w:t xml:space="preserve">Dr. Heinrich &amp; Partner Rechtsanwälte · Maximilianstraße 42, 80539 Munich, Germany · USt-IdNr.: DE 123 456 789</w:t>
      </w:r>
    </w:p>
    <w:p>
      <w:pPr>
        <w:pStyle w:val="BodyText"/>
      </w:pPr>
      <w:r>
        <w:t xml:space="preserve">Member of the Munich Bar Association (Rechtsanwaltskammer München) · Supervising Partner: Dr. Katharina Heinrich</w:t>
      </w:r>
    </w:p>
    <w:p>
      <w:pPr>
        <w:pStyle w:val="BodyText"/>
      </w:pPr>
      <w:r>
        <w:t xml:space="preserve">Thank you for entrusting your legal matters to our firm. We remain at your disposal for all future legal requirements in Munich and throughout Germany.</w:t>
      </w:r>
    </w:p>
    <w:p>
      <w:pPr>
        <w:pStyle w:val="BodyText"/>
      </w:pPr>
      <w:r>
        <w:t xml:space="preserve">This document is an original Invoice. In case of any discrepancy, the original document held by the law firm shall prevail. © 2025 Dr. Heinrich &amp; Partner Rechtsanwälte.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Legal Services - Munich, Germany</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