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Advocate</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invoice"/>
    <w:p>
      <w:pPr>
        <w:pStyle w:val="Heading1"/>
      </w:pPr>
      <w:r>
        <w:t xml:space="preserve">INVOICE</w:t>
      </w:r>
    </w:p>
    <w:p>
      <w:pPr>
        <w:pStyle w:val="FirstParagraph"/>
      </w:pPr>
      <w:r>
        <w:t xml:space="preserve">Professional Legal Services — Advocate &amp; Legal Counsel</w:t>
      </w:r>
    </w:p>
    <w:p>
      <w:pPr>
        <w:pStyle w:val="BodyText"/>
      </w:pPr>
      <w:r>
        <w:t xml:space="preserve">Registered under the Bar Council of India — Practicing in India New Delhi</w:t>
      </w:r>
    </w:p>
    <w:bookmarkEnd w:id="20"/>
    <w:bookmarkStart w:id="21" w:name="lawyer-advocate-details"/>
    <w:p>
      <w:pPr>
        <w:pStyle w:val="Heading3"/>
      </w:pPr>
      <w:r>
        <w:t xml:space="preserve">Lawyer / Advocate Details</w:t>
      </w:r>
    </w:p>
    <w:p>
      <w:pPr>
        <w:pStyle w:val="FirstParagraph"/>
      </w:pPr>
      <w:r>
        <w:rPr>
          <w:bCs/>
          <w:b/>
        </w:rPr>
        <w:t xml:space="preserve">Adv. Rajesh Kumar Sharma</w:t>
      </w:r>
      <w:r>
        <w:br/>
      </w:r>
      <w:r>
        <w:t xml:space="preserve">Sharma &amp; Associates Legal Chambers</w:t>
      </w:r>
      <w:r>
        <w:br/>
      </w:r>
      <w:r>
        <w:t xml:space="preserve">4th Floor, Supreme Court Complex, Tis Hazari Court</w:t>
      </w:r>
      <w:r>
        <w:br/>
      </w:r>
      <w:r>
        <w:t xml:space="preserve">India New Delhi – 110001</w:t>
      </w:r>
      <w:r>
        <w:br/>
      </w:r>
      <w:r>
        <w:t xml:space="preserve">Bar Council Registration No.: D/1234/2005</w:t>
      </w:r>
      <w:r>
        <w:br/>
      </w:r>
      <w:r>
        <w:t xml:space="preserve">GSTIN: 07AABCS1234F1Z5</w:t>
      </w:r>
      <w:r>
        <w:br/>
      </w:r>
      <w:r>
        <w:t xml:space="preserve">Email: contact@sharmaassociates.in</w:t>
      </w:r>
      <w:r>
        <w:br/>
      </w:r>
      <w:r>
        <w:t xml:space="preserve">Phone: +91-11-4567-8900</w:t>
      </w:r>
    </w:p>
    <w:bookmarkEnd w:id="21"/>
    <w:bookmarkStart w:id="22" w:name="client-billed-to"/>
    <w:p>
      <w:pPr>
        <w:pStyle w:val="Heading3"/>
      </w:pPr>
      <w:r>
        <w:t xml:space="preserve">Client / Billed To</w:t>
      </w:r>
    </w:p>
    <w:p>
      <w:pPr>
        <w:pStyle w:val="FirstParagraph"/>
      </w:pPr>
      <w:r>
        <w:rPr>
          <w:bCs/>
          <w:b/>
        </w:rPr>
        <w:t xml:space="preserve">M/s. Aravind Technologies Pvt. Ltd.</w:t>
      </w:r>
      <w:r>
        <w:br/>
      </w:r>
      <w:r>
        <w:t xml:space="preserve">Attn: Mr. Vikram Aravind, Director</w:t>
      </w:r>
      <w:r>
        <w:br/>
      </w:r>
      <w:r>
        <w:t xml:space="preserve">12, Connaught Place, Block E</w:t>
      </w:r>
      <w:r>
        <w:br/>
      </w:r>
      <w:r>
        <w:t xml:space="preserve">India New Delhi – 110001</w:t>
      </w:r>
      <w:r>
        <w:br/>
      </w:r>
      <w:r>
        <w:t xml:space="preserve">GSTIN: 07AAACA5678B1ZP</w:t>
      </w:r>
      <w:r>
        <w:br/>
      </w:r>
      <w:r>
        <w:t xml:space="preserve">Email: legal@aravindtech.com</w:t>
      </w:r>
      <w:r>
        <w:br/>
      </w:r>
      <w:r>
        <w:t xml:space="preserve">Phone: +91-11-2345-6789</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SA/INV/2025/0047</w:t>
            </w:r>
          </w:p>
        </w:tc>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30 June 2025</w:t>
            </w:r>
          </w:p>
        </w:tc>
        <w:tc>
          <w:tcPr/>
          <w:p>
            <w:pPr>
              <w:pStyle w:val="Compact"/>
              <w:jc w:val="left"/>
            </w:pPr>
            <w:r>
              <w:t xml:space="preserve">Payment Mode:</w:t>
            </w:r>
          </w:p>
        </w:tc>
        <w:tc>
          <w:tcPr/>
          <w:p>
            <w:pPr>
              <w:pStyle w:val="Compact"/>
              <w:jc w:val="left"/>
            </w:pPr>
            <w:r>
              <w:t xml:space="preserve">Bank Transfer / NEFT / RTGS</w:t>
            </w:r>
          </w:p>
        </w:tc>
      </w:tr>
      <w:tr>
        <w:tc>
          <w:tcPr/>
          <w:p>
            <w:pPr>
              <w:pStyle w:val="Compact"/>
              <w:jc w:val="left"/>
            </w:pPr>
            <w:r>
              <w:t xml:space="preserve">Matter Reference:</w:t>
            </w:r>
          </w:p>
        </w:tc>
        <w:tc>
          <w:tcPr/>
          <w:p>
            <w:pPr>
              <w:pStyle w:val="Compact"/>
              <w:jc w:val="left"/>
            </w:pPr>
            <w:r>
              <w:t xml:space="preserve">CS No. 2847/2025 (Commercial Dispute)</w:t>
            </w:r>
          </w:p>
        </w:tc>
        <w:tc>
          <w:tcPr/>
          <w:p>
            <w:pPr>
              <w:pStyle w:val="Compact"/>
              <w:jc w:val="left"/>
            </w:pPr>
            <w:r>
              <w:t xml:space="preserve">Jurisdiction:</w:t>
            </w:r>
          </w:p>
        </w:tc>
        <w:tc>
          <w:tcPr/>
          <w:p>
            <w:pPr>
              <w:pStyle w:val="Compact"/>
              <w:jc w:val="left"/>
            </w:pPr>
            <w:r>
              <w:t xml:space="preserve">Delhi High Court, India New Delhi</w:t>
            </w:r>
          </w:p>
        </w:tc>
      </w:tr>
    </w:tbl>
    <w:bookmarkStart w:id="23" w:name="description-of-legal-services-rendered"/>
    <w:p>
      <w:pPr>
        <w:pStyle w:val="Heading2"/>
      </w:pPr>
      <w:r>
        <w:t xml:space="preserve">Description of Legal Services Rendered</w:t>
      </w:r>
    </w:p>
    <w:p>
      <w:pPr>
        <w:pStyle w:val="FirstParagraph"/>
      </w:pPr>
      <w:r>
        <w:t xml:space="preserve">This Invoice is issued by the undersigned Lawyer, Adv. Rajesh Kumar Sharma, in his capacity as a practicing Advocate enrolled with the Bar Council of India and the Delhi Bar Council, for professional legal services rendered to the above-named client in connection with the matter referenced herein. All services were performed within the jurisdiction of India New Delhi and are subject to the applicable provisions of the Legal Services Authorities Act, 1987, and the Advocates Act, 1961.</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Hours / Units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legal consultation and case assessment regarding commercial contract dispute; preparation of legal strategy memorandum</w:t>
            </w:r>
          </w:p>
        </w:tc>
        <w:tc>
          <w:tcPr/>
          <w:p>
            <w:pPr>
              <w:pStyle w:val="Compact"/>
              <w:jc w:val="left"/>
            </w:pPr>
            <w:r>
              <w:t xml:space="preserve">4 hrs</w:t>
            </w:r>
          </w:p>
        </w:tc>
        <w:tc>
          <w:tcPr/>
          <w:p>
            <w:pPr>
              <w:pStyle w:val="Compact"/>
              <w:jc w:val="left"/>
            </w:pPr>
            <w:r>
              <w:t xml:space="preserve">5,000</w:t>
            </w:r>
          </w:p>
        </w:tc>
        <w:tc>
          <w:tcPr/>
          <w:p>
            <w:pPr>
              <w:pStyle w:val="Compact"/>
              <w:jc w:val="left"/>
            </w:pPr>
            <w:r>
              <w:t xml:space="preserve">20,000</w:t>
            </w:r>
          </w:p>
        </w:tc>
      </w:tr>
      <w:tr>
        <w:tc>
          <w:tcPr/>
          <w:p>
            <w:pPr>
              <w:pStyle w:val="Compact"/>
              <w:jc w:val="left"/>
            </w:pPr>
            <w:r>
              <w:t xml:space="preserve">2</w:t>
            </w:r>
          </w:p>
        </w:tc>
        <w:tc>
          <w:tcPr/>
          <w:p>
            <w:pPr>
              <w:pStyle w:val="Compact"/>
              <w:jc w:val="left"/>
            </w:pPr>
            <w:r>
              <w:t xml:space="preserve">Drafting and filing of Civil Suit (CS No. 2847/2025) before the Delhi High Court, India New Delhi; preparation of plaint, annexures, and verification</w:t>
            </w:r>
          </w:p>
        </w:tc>
        <w:tc>
          <w:tcPr/>
          <w:p>
            <w:pPr>
              <w:pStyle w:val="Compact"/>
              <w:jc w:val="left"/>
            </w:pPr>
            <w:r>
              <w:t xml:space="preserve">12 hrs</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Appearance and argument before the Hon'ble Court on the first hearing date; filing of written submissions</w:t>
            </w:r>
          </w:p>
        </w:tc>
        <w:tc>
          <w:tcPr/>
          <w:p>
            <w:pPr>
              <w:pStyle w:val="Compact"/>
              <w:jc w:val="left"/>
            </w:pPr>
            <w:r>
              <w:t xml:space="preserve">3 hrs</w:t>
            </w:r>
          </w:p>
        </w:tc>
        <w:tc>
          <w:tcPr/>
          <w:p>
            <w:pPr>
              <w:pStyle w:val="Compact"/>
              <w:jc w:val="left"/>
            </w:pPr>
            <w:r>
              <w:t xml:space="preserve">7,500</w:t>
            </w:r>
          </w:p>
        </w:tc>
        <w:tc>
          <w:tcPr/>
          <w:p>
            <w:pPr>
              <w:pStyle w:val="Compact"/>
              <w:jc w:val="left"/>
            </w:pPr>
            <w:r>
              <w:t xml:space="preserve">22,500</w:t>
            </w:r>
          </w:p>
        </w:tc>
      </w:tr>
      <w:tr>
        <w:tc>
          <w:tcPr/>
          <w:p>
            <w:pPr>
              <w:pStyle w:val="Compact"/>
              <w:jc w:val="left"/>
            </w:pPr>
            <w:r>
              <w:t xml:space="preserve">4</w:t>
            </w:r>
          </w:p>
        </w:tc>
        <w:tc>
          <w:tcPr/>
          <w:p>
            <w:pPr>
              <w:pStyle w:val="Compact"/>
              <w:jc w:val="left"/>
            </w:pPr>
            <w:r>
              <w:t xml:space="preserve">Review and analysis of opposing party's written statement; preparation of reply and counter-arguments</w:t>
            </w:r>
          </w:p>
        </w:tc>
        <w:tc>
          <w:tcPr/>
          <w:p>
            <w:pPr>
              <w:pStyle w:val="Compact"/>
              <w:jc w:val="left"/>
            </w:pPr>
            <w:r>
              <w:t xml:space="preserve">8 hrs</w:t>
            </w:r>
          </w:p>
        </w:tc>
        <w:tc>
          <w:tcPr/>
          <w:p>
            <w:pPr>
              <w:pStyle w:val="Compact"/>
              <w:jc w:val="left"/>
            </w:pPr>
            <w:r>
              <w:t xml:space="preserve">5,000</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Legal research on applicable provisions of the Indian Contract Act, 1872, and the Specific Relief Act, 1963; preparation of legal opinion letter</w:t>
            </w:r>
          </w:p>
        </w:tc>
        <w:tc>
          <w:tcPr/>
          <w:p>
            <w:pPr>
              <w:pStyle w:val="Compact"/>
              <w:jc w:val="left"/>
            </w:pPr>
            <w:r>
              <w:t xml:space="preserve">6 hrs</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6</w:t>
            </w:r>
          </w:p>
        </w:tc>
        <w:tc>
          <w:tcPr/>
          <w:p>
            <w:pPr>
              <w:pStyle w:val="Compact"/>
              <w:jc w:val="left"/>
            </w:pPr>
            <w:r>
              <w:t xml:space="preserve">Coordination with court registry, filing of applications for interim injunction, and service of summons in India New Delhi jurisdiction</w:t>
            </w:r>
          </w:p>
        </w:tc>
        <w:tc>
          <w:tcPr/>
          <w:p>
            <w:pPr>
              <w:pStyle w:val="Compact"/>
              <w:jc w:val="left"/>
            </w:pPr>
            <w:r>
              <w:t xml:space="preserve">5 hrs</w:t>
            </w:r>
          </w:p>
        </w:tc>
        <w:tc>
          <w:tcPr/>
          <w:p>
            <w:pPr>
              <w:pStyle w:val="Compact"/>
              <w:jc w:val="left"/>
            </w:pPr>
            <w:r>
              <w:t xml:space="preserve">4,000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Client advisory meetings (3 sessions) regarding case progress, risk assessment, and settlement negotiation strategy</w:t>
            </w:r>
          </w:p>
        </w:tc>
        <w:tc>
          <w:tcPr/>
          <w:p>
            <w:pPr>
              <w:pStyle w:val="Compact"/>
              <w:jc w:val="left"/>
            </w:pPr>
            <w:r>
              <w:t xml:space="preserve">3 sessions</w:t>
            </w:r>
          </w:p>
        </w:tc>
        <w:tc>
          <w:tcPr/>
          <w:p>
            <w:pPr>
              <w:pStyle w:val="Compact"/>
              <w:jc w:val="left"/>
            </w:pPr>
            <w:r>
              <w:t xml:space="preserve">3,000</w:t>
            </w:r>
          </w:p>
        </w:tc>
        <w:tc>
          <w:tcPr/>
          <w:p>
            <w:pPr>
              <w:pStyle w:val="Compact"/>
              <w:jc w:val="left"/>
            </w:pPr>
            <w:r>
              <w:t xml:space="preserve">9,000</w:t>
            </w:r>
          </w:p>
        </w:tc>
      </w:tr>
      <w:tr>
        <w:tc>
          <w:tcPr/>
          <w:p>
            <w:pPr>
              <w:pStyle w:val="Compact"/>
              <w:jc w:val="left"/>
            </w:pPr>
            <w:r>
              <w:t xml:space="preserve">8</w:t>
            </w:r>
          </w:p>
        </w:tc>
        <w:tc>
          <w:tcPr/>
          <w:p>
            <w:pPr>
              <w:pStyle w:val="Compact"/>
              <w:jc w:val="left"/>
            </w:pPr>
            <w:r>
              <w:t xml:space="preserve">Preparation and filing of affidavit, list of documents, and index for the next scheduled hearing</w:t>
            </w:r>
          </w:p>
        </w:tc>
        <w:tc>
          <w:tcPr/>
          <w:p>
            <w:pPr>
              <w:pStyle w:val="Compact"/>
              <w:jc w:val="left"/>
            </w:pPr>
            <w:r>
              <w:t xml:space="preserve">5 hrs</w:t>
            </w:r>
          </w:p>
        </w:tc>
        <w:tc>
          <w:tcPr/>
          <w:p>
            <w:pPr>
              <w:pStyle w:val="Compact"/>
              <w:jc w:val="left"/>
            </w:pPr>
            <w:r>
              <w:t xml:space="preserve">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 INR 2,23,500.00</w:t>
            </w:r>
          </w:p>
        </w:tc>
      </w:tr>
      <w:tr>
        <w:tc>
          <w:tcPr/>
          <w:p>
            <w:pPr>
              <w:pStyle w:val="Compact"/>
              <w:jc w:val="left"/>
            </w:pPr>
            <w:r>
              <w:t xml:space="preserve">Court Fees &amp; Stamp Duty (as per Delhi Court Fee Act):</w:t>
            </w:r>
          </w:p>
        </w:tc>
        <w:tc>
          <w:tcPr/>
          <w:p>
            <w:pPr>
              <w:pStyle w:val="Compact"/>
              <w:jc w:val="right"/>
            </w:pPr>
            <w:r>
              <w:t xml:space="preserve"> INR 18,750.00</w:t>
            </w:r>
          </w:p>
        </w:tc>
      </w:tr>
      <w:tr>
        <w:tc>
          <w:tcPr/>
          <w:p>
            <w:pPr>
              <w:pStyle w:val="Compact"/>
              <w:jc w:val="left"/>
            </w:pPr>
            <w:r>
              <w:t xml:space="preserve">Out-of-Pocket Expenses (printing, courier, registry charges):</w:t>
            </w:r>
          </w:p>
        </w:tc>
        <w:tc>
          <w:tcPr/>
          <w:p>
            <w:pPr>
              <w:pStyle w:val="Compact"/>
              <w:jc w:val="right"/>
            </w:pPr>
            <w:r>
              <w:t xml:space="preserve"> INR 4,200.00</w:t>
            </w:r>
          </w:p>
        </w:tc>
      </w:tr>
      <w:tr>
        <w:tc>
          <w:tcPr/>
          <w:p>
            <w:pPr>
              <w:pStyle w:val="Compact"/>
              <w:jc w:val="left"/>
            </w:pPr>
            <w:r>
              <w:t xml:space="preserve">GST @ 18% (on professional fees only):</w:t>
            </w:r>
          </w:p>
        </w:tc>
        <w:tc>
          <w:tcPr/>
          <w:p>
            <w:pPr>
              <w:pStyle w:val="Compact"/>
              <w:jc w:val="right"/>
            </w:pPr>
            <w:r>
              <w:t xml:space="preserve"> INR 40,230.00</w:t>
            </w:r>
          </w:p>
        </w:tc>
      </w:tr>
      <w:tr>
        <w:tc>
          <w:tcPr/>
          <w:p>
            <w:pPr>
              <w:pStyle w:val="Compact"/>
              <w:jc w:val="left"/>
            </w:pPr>
            <w:r>
              <w:t xml:space="preserve">Grand Total Payable:</w:t>
            </w:r>
          </w:p>
        </w:tc>
        <w:tc>
          <w:tcPr/>
          <w:p>
            <w:pPr>
              <w:pStyle w:val="Compact"/>
              <w:jc w:val="right"/>
            </w:pPr>
            <w:r>
              <w:t xml:space="preserve">INR 2,86,680.00</w:t>
            </w:r>
          </w:p>
        </w:tc>
      </w:tr>
    </w:tbl>
    <w:bookmarkEnd w:id="23"/>
    <w:bookmarkStart w:id="24" w:name="payment-terms-instructions"/>
    <w:p>
      <w:pPr>
        <w:pStyle w:val="Heading2"/>
      </w:pPr>
      <w:r>
        <w:t xml:space="preserve">Payment Terms &amp; Instructions</w:t>
      </w:r>
    </w:p>
    <w:p>
      <w:pPr>
        <w:pStyle w:val="FirstParagraph"/>
      </w:pPr>
      <w:r>
        <w:t xml:space="preserve">The total amount of</w:t>
      </w:r>
      <w:r>
        <w:t xml:space="preserve"> </w:t>
      </w:r>
      <w:r>
        <w:rPr>
          <w:bCs/>
          <w:b/>
        </w:rPr>
        <w:t xml:space="preserve">INR 2,86,680.00</w:t>
      </w:r>
      <w:r>
        <w:t xml:space="preserve"> </w:t>
      </w:r>
      <w:r>
        <w:t xml:space="preserve">(Rupees Two Lakh Eighty-Six Thousand Six Hundred and Eighty Only) is due within fifteen (15) days from the date of this Invoice. Payment may be made via NEFT, RTGS, or bank transfer to the following account:</w:t>
      </w:r>
      <w:r>
        <w:t xml:space="preserve"> </w:t>
      </w:r>
      <w:r>
        <w:rPr>
          <w:bCs/>
          <w:b/>
        </w:rPr>
        <w:t xml:space="preserve">HDFC Bank, Tis Hazari Branch, India New Delhi</w:t>
      </w:r>
      <w:r>
        <w:t xml:space="preserve"> </w:t>
      </w:r>
      <w:r>
        <w:t xml:space="preserve">| Account Name: Adv. Rajesh Kumar Sharma | A/C No: 50100XXXXXX1234 | IFSC: HDFC0000123. Kindly quote the Invoice number SA/INV/2025/0047 in the payment remarks. A late payment surcharge of 2% per month shall apply on overdue amounts as per the terms agreed upon in the retainer agreement.</w:t>
      </w:r>
    </w:p>
    <w:bookmarkEnd w:id="24"/>
    <w:bookmarkStart w:id="25" w:name="terms-conditions"/>
    <w:p>
      <w:pPr>
        <w:pStyle w:val="Heading2"/>
      </w:pPr>
      <w:r>
        <w:t xml:space="preserve">Terms &amp; Conditions</w:t>
      </w:r>
    </w:p>
    <w:p>
      <w:pPr>
        <w:numPr>
          <w:ilvl w:val="0"/>
          <w:numId w:val="1001"/>
        </w:numPr>
        <w:pStyle w:val="Compact"/>
      </w:pPr>
      <w:r>
        <w:t xml:space="preserve">This Invoice constitutes a formal demand for payment for legal and professional services rendered by the Lawyer, Adv. Rajesh Kumar Sharma, in his capacity as an Advocate practicing in India New Delhi. The services described herein were performed in accordance with the Code of Conduct under the Advocates Act, 1961.</w:t>
      </w:r>
    </w:p>
    <w:p>
      <w:pPr>
        <w:numPr>
          <w:ilvl w:val="0"/>
          <w:numId w:val="1001"/>
        </w:numPr>
        <w:pStyle w:val="Compact"/>
      </w:pPr>
      <w:r>
        <w:t xml:space="preserve">All fees charged are exclusive of court fees, stamp duty, and out-of-pocket expenses, which are billed at actuals as itemized above. The Lawyer shall provide original receipts for all court and registry payments made on behalf of the client.</w:t>
      </w:r>
    </w:p>
    <w:p>
      <w:pPr>
        <w:numPr>
          <w:ilvl w:val="0"/>
          <w:numId w:val="1001"/>
        </w:numPr>
        <w:pStyle w:val="Compact"/>
      </w:pPr>
      <w:r>
        <w:t xml:space="preserve">GST at the applicable rate of 18% has been charged on professional legal services as mandated under the Central Goods and Services Tax Act, 2017. This Invoice is issued in compliance with the GST regulations applicable in India New Delhi and the National Capital Territory of Delhi.</w:t>
      </w:r>
    </w:p>
    <w:p>
      <w:pPr>
        <w:numPr>
          <w:ilvl w:val="0"/>
          <w:numId w:val="1001"/>
        </w:numPr>
        <w:pStyle w:val="Compact"/>
      </w:pPr>
      <w:r>
        <w:t xml:space="preserve">The client acknowledges that this Invoice covers services rendered up to the date of issue. Any additional legal work, court appearances, or advisory sessions beyond the scope described herein shall be subject to a separate Invoice and prior written authorization from the client.</w:t>
      </w:r>
    </w:p>
    <w:p>
      <w:pPr>
        <w:numPr>
          <w:ilvl w:val="0"/>
          <w:numId w:val="1001"/>
        </w:numPr>
        <w:pStyle w:val="Compact"/>
      </w:pPr>
      <w:r>
        <w:t xml:space="preserve">Confidentiality: All information, documents, and communications exchanged in connection with this matter are subject to the attorney-client privilege as recognized under Indian law. The Lawyer shall not disclose any client information to third parties except as required by law or court order.</w:t>
      </w:r>
    </w:p>
    <w:p>
      <w:pPr>
        <w:numPr>
          <w:ilvl w:val="0"/>
          <w:numId w:val="1001"/>
        </w:numPr>
        <w:pStyle w:val="Compact"/>
      </w:pPr>
      <w:r>
        <w:t xml:space="preserve">This Invoice is valid for a period of ninety (90) days from the date of issue. The client is requested to process payment within the stipulated due date to avoid any escalation of the matter or suspension of ongoing legal representation.</w:t>
      </w:r>
    </w:p>
    <w:p>
      <w:pPr>
        <w:numPr>
          <w:ilvl w:val="0"/>
          <w:numId w:val="1001"/>
        </w:numPr>
        <w:pStyle w:val="Compact"/>
      </w:pPr>
      <w:r>
        <w:t xml:space="preserve">In the event of any dispute regarding the fees or services described in this Invoice, the matter shall be resolved through mutual negotiation. Failing amicable resolution, the dispute shall be subject to the exclusive jurisdiction of the courts in India New Delhi.</w:t>
      </w:r>
    </w:p>
    <w:p>
      <w:pPr>
        <w:numPr>
          <w:ilvl w:val="0"/>
          <w:numId w:val="1001"/>
        </w:numPr>
        <w:pStyle w:val="Compact"/>
      </w:pPr>
      <w:r>
        <w:t xml:space="preserve">The Lawyer reserves the right to withdraw from the matter upon thirty (30) days' written notice, in which case a pro-rata adjustment of fees shall be made, and a revised Invoice shall be issued accordingly.</w:t>
      </w:r>
    </w:p>
    <w:bookmarkEnd w:id="25"/>
    <w:bookmarkStart w:id="26" w:name="declaration-authorization"/>
    <w:p>
      <w:pPr>
        <w:pStyle w:val="Heading2"/>
      </w:pPr>
      <w:r>
        <w:t xml:space="preserve">Declaration &amp; Authorization</w:t>
      </w:r>
    </w:p>
    <w:p>
      <w:pPr>
        <w:pStyle w:val="FirstParagraph"/>
      </w:pPr>
      <w:r>
        <w:t xml:space="preserve">I,</w:t>
      </w:r>
      <w:r>
        <w:t xml:space="preserve"> </w:t>
      </w:r>
      <w:r>
        <w:rPr>
          <w:bCs/>
          <w:b/>
        </w:rPr>
        <w:t xml:space="preserve">Adv. Rajesh Kumar Sharma</w:t>
      </w:r>
      <w:r>
        <w:t xml:space="preserve">, do hereby certify that this Invoice accurately reflects the professional legal services rendered by me and my firm to the above-named client. The fees charged are in accordance with the fee structure mutually agreed upon in the retainer agreement dated 01 March 2025 and are consistent with the norms prevailing for legal practitioners in India New Delhi. This Invoice is issued in good faith and in compliance with all applicable statutory and regulatory requirements of the Bar Council of India and the Income Tax Department of India.</w:t>
      </w:r>
    </w:p>
    <w:p>
      <w:pPr>
        <w:pStyle w:val="BodyText"/>
      </w:pPr>
      <w:r>
        <w:t xml:space="preserve">Lawyer's Signature &amp; Seal</w:t>
      </w:r>
    </w:p>
    <w:p>
      <w:pPr>
        <w:pStyle w:val="BodyText"/>
      </w:pPr>
      <w:r>
        <w:t xml:space="preserve">Client's Acknowledgment</w:t>
      </w:r>
    </w:p>
    <w:p>
      <w:pPr>
        <w:pStyle w:val="BodyText"/>
      </w:pPr>
      <w:r>
        <w:rPr>
          <w:bCs/>
          <w:b/>
        </w:rPr>
        <w:t xml:space="preserve">Sharma &amp; Associates Legal Chambers</w:t>
      </w:r>
      <w:r>
        <w:t xml:space="preserve"> </w:t>
      </w:r>
      <w:r>
        <w:t xml:space="preserve">| 4th Floor, Supreme Court Complex, Tis Hazari Court, India New Delhi – 110001</w:t>
      </w:r>
    </w:p>
    <w:p>
      <w:pPr>
        <w:pStyle w:val="BodyText"/>
      </w:pPr>
      <w:r>
        <w:t xml:space="preserve">Bar Council of India Reg. No.: D/1234/2005 | GSTIN: 07AABCS1234F1Z5 | This is a computer-generated Invoice and does not require a physical signature.</w:t>
      </w:r>
    </w:p>
    <w:p>
      <w:pPr>
        <w:pStyle w:val="BodyText"/>
      </w:pPr>
      <w:r>
        <w:t xml:space="preserve">© 2025 Sharma &amp; Associates. All rights reserved. This Invoice is the property of the issuing Lawyer and is intended solely for the named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Advocate Services - India New Delhi</dc:title>
  <dc:creator/>
  <dc:language>en</dc:language>
  <cp:keywords/>
  <dcterms:created xsi:type="dcterms:W3CDTF">2026-10-10T05:53:30Z</dcterms:created>
  <dcterms:modified xsi:type="dcterms:W3CDTF">2026-10-10T05:53:30Z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