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Jakarta,</w:t>
      </w:r>
      <w:r>
        <w:t xml:space="preserve"> </w:t>
      </w:r>
      <w:r>
        <w:t xml:space="preserve">Indonesia</w:t>
      </w:r>
    </w:p>
    <w:bookmarkStart w:id="20" w:name="invoice"/>
    <w:p>
      <w:pPr>
        <w:pStyle w:val="Heading1"/>
      </w:pPr>
      <w:r>
        <w:t xml:space="preserve">INVOICE</w:t>
      </w:r>
    </w:p>
    <w:p>
      <w:pPr>
        <w:pStyle w:val="FirstParagraph"/>
      </w:pPr>
      <w:r>
        <w:t xml:space="preserve">Professional Legal Services — Attorney at Law</w:t>
      </w:r>
    </w:p>
    <w:p>
      <w:pPr>
        <w:pStyle w:val="BodyText"/>
      </w:pPr>
      <w:r>
        <w:t xml:space="preserve">OFFICIAL LEGAL DOCUMENT</w:t>
      </w:r>
    </w:p>
    <w:bookmarkEnd w:id="20"/>
    <w:p>
      <w:pPr>
        <w:pStyle w:val="BodyText"/>
      </w:pPr>
      <w:r>
        <w:rPr>
          <w:bCs/>
          <w:b/>
        </w:rPr>
        <w:t xml:space="preserve">PT. Nusantara Legal Counsel &amp; Associates</w:t>
      </w:r>
      <w:r>
        <w:br/>
      </w:r>
      <w:r>
        <w:t xml:space="preserve">Jl. Jend. Sudirman Kav. 52-53, Menara Batavia, 12th Floor</w:t>
      </w:r>
      <w:r>
        <w:br/>
      </w:r>
      <w:r>
        <w:t xml:space="preserve">Jakarta Selatan, Indonesia Jakarta 12190</w:t>
      </w:r>
      <w:r>
        <w:br/>
      </w:r>
      <w:r>
        <w:t xml:space="preserve">Phone: +62-21-5790-8800</w:t>
      </w:r>
      <w:r>
        <w:br/>
      </w:r>
      <w:r>
        <w:t xml:space="preserve">Email: billing@nusantaralegal.co.id</w:t>
      </w:r>
      <w:r>
        <w:br/>
      </w:r>
      <w:r>
        <w:t xml:space="preserve">NPWP: 01.234.567.8-012.000</w:t>
      </w:r>
    </w:p>
    <w:p>
      <w:pPr>
        <w:pStyle w:val="BodyText"/>
      </w:pPr>
      <w:r>
        <w:rPr>
          <w:bCs/>
          <w:b/>
        </w:rPr>
        <w:t xml:space="preserve">INVOICE NO:</w:t>
      </w:r>
      <w:r>
        <w:t xml:space="preserve"> </w:t>
      </w:r>
      <w:r>
        <w:t xml:space="preserve">INV/JKT/2025/00487</w:t>
      </w:r>
      <w:r>
        <w:br/>
      </w:r>
      <w:r>
        <w:rPr>
          <w:bCs/>
          <w:b/>
        </w:rPr>
        <w:t xml:space="preserve">DATE ISSUED:</w:t>
      </w:r>
      <w:r>
        <w:t xml:space="preserve"> </w:t>
      </w:r>
      <w:r>
        <w:t xml:space="preserve">15 June 2025</w:t>
      </w:r>
      <w:r>
        <w:br/>
      </w:r>
      <w:r>
        <w:rPr>
          <w:bCs/>
          <w:b/>
        </w:rPr>
        <w:t xml:space="preserve">DUE DATE:</w:t>
      </w:r>
      <w:r>
        <w:t xml:space="preserve"> </w:t>
      </w:r>
      <w:r>
        <w:t xml:space="preserve">30 June 2025</w:t>
      </w:r>
      <w:r>
        <w:br/>
      </w:r>
      <w:r>
        <w:rPr>
          <w:bCs/>
          <w:b/>
        </w:rPr>
        <w:t xml:space="preserve">CURRENCY:</w:t>
      </w:r>
      <w:r>
        <w:t xml:space="preserve"> </w:t>
      </w:r>
      <w:r>
        <w:t xml:space="preserve">IDR (Indonesian Rupiah)</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BILLED TO:</w:t>
            </w:r>
          </w:p>
        </w:tc>
        <w:tc>
          <w:tcPr/>
          <w:p>
            <w:pPr>
              <w:pStyle w:val="Compact"/>
              <w:jc w:val="left"/>
            </w:pPr>
            <w:r>
              <w:rPr>
                <w:bCs/>
                <w:b/>
              </w:rPr>
              <w:t xml:space="preserve">ATTORNEY / LAWYER DETAILS:</w:t>
            </w:r>
          </w:p>
        </w:tc>
      </w:tr>
      <w:tr>
        <w:tc>
          <w:tcPr/>
          <w:p>
            <w:pPr>
              <w:pStyle w:val="Compact"/>
              <w:jc w:val="left"/>
            </w:pPr>
            <w:r>
              <w:t xml:space="preserve">PT. Artha Mandiri Group</w:t>
            </w:r>
            <w:r>
              <w:br/>
            </w:r>
            <w:r>
              <w:t xml:space="preserve">Attn: Mr. Budi Santoso, General Counsel</w:t>
            </w:r>
            <w:r>
              <w:br/>
            </w:r>
            <w:r>
              <w:t xml:space="preserve">Menara BCA, 45th Floor</w:t>
            </w:r>
            <w:r>
              <w:br/>
            </w:r>
            <w:r>
              <w:t xml:space="preserve">Jl. Jend. Sudirman Kav. 29</w:t>
            </w:r>
            <w:r>
              <w:br/>
            </w:r>
            <w:r>
              <w:t xml:space="preserve">Jakarta Pusat, Indonesia Jakarta 10220</w:t>
            </w:r>
            <w:r>
              <w:br/>
            </w:r>
            <w:r>
              <w:t xml:space="preserve">NPWP: 02.987.654.3-021.000</w:t>
            </w:r>
          </w:p>
        </w:tc>
        <w:tc>
          <w:tcPr/>
          <w:p>
            <w:pPr>
              <w:pStyle w:val="Compact"/>
              <w:jc w:val="left"/>
            </w:pPr>
            <w:r>
              <w:t xml:space="preserve">Adv. Dr. Hendra Wijaya, S.H., M.H.</w:t>
            </w:r>
            <w:r>
              <w:br/>
            </w:r>
            <w:r>
              <w:t xml:space="preserve">Senior Partner &amp; Lead Lawyer</w:t>
            </w:r>
            <w:r>
              <w:br/>
            </w:r>
            <w:r>
              <w:t xml:space="preserve">License No: 110/2019/MA</w:t>
            </w:r>
            <w:r>
              <w:br/>
            </w:r>
            <w:r>
              <w:t xml:space="preserve">Bar Association: Peradi Jakarta Chapter</w:t>
            </w:r>
            <w:r>
              <w:br/>
            </w:r>
            <w:r>
              <w:t xml:space="preserve">Specialization: Corporate &amp; Commercial Law</w:t>
            </w:r>
          </w:p>
        </w:tc>
      </w:tr>
    </w:tbl>
    <w:bookmarkStart w:id="21" w:name="description-of-legal-services-rendered"/>
    <w:p>
      <w:pPr>
        <w:pStyle w:val="Heading2"/>
      </w:pPr>
      <w:r>
        <w:t xml:space="preserve">Description of Legal Services Rendered</w:t>
      </w:r>
    </w:p>
    <w:p>
      <w:pPr>
        <w:pStyle w:val="FirstParagraph"/>
      </w:pPr>
      <w:r>
        <w:t xml:space="preserve">This Invoice is issued by the undersigned Lawyer, Adv. Dr. Hendra Wijaya, S.H., M.H., in his capacity as Senior Partner at PT. Nusantara Legal Counsel &amp; Associates, a registered law firm operating in Indonesia Jakarta. The following professional legal services were rendered to the client during the billing period of 1 June 2025 through 14 June 2025. All services were performed in accordance with the Indonesian Legal Profession Law (Undang-Undang No. 18 Tahun 2003) and the applicable professional ethical standards of the Indonesian Bar Association.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Comprehensive legal consultation regarding restructuring of intercompany agreements and compliance with Indonesian tax regulations. The Lawyer provided strategic advisory on corporate governance matters.</w:t>
            </w:r>
          </w:p>
        </w:tc>
        <w:tc>
          <w:tcPr/>
          <w:p>
            <w:pPr>
              <w:pStyle w:val="Compact"/>
              <w:jc w:val="left"/>
            </w:pPr>
            <w:r>
              <w:t xml:space="preserve">02 Jun 2025</w:t>
            </w:r>
          </w:p>
        </w:tc>
        <w:tc>
          <w:tcPr/>
          <w:p>
            <w:pPr>
              <w:pStyle w:val="Compact"/>
              <w:jc w:val="left"/>
            </w:pPr>
            <w:r>
              <w:t xml:space="preserve">4.5 hours</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Drafting and review of a Master Service Agreement (MSA) between the client and its subsidiary in Indonesia Jakarta, including negotiation of indemnification clauses and dispute resolution mechanisms under Indonesian civil law.</w:t>
            </w:r>
          </w:p>
        </w:tc>
        <w:tc>
          <w:tcPr/>
          <w:p>
            <w:pPr>
              <w:pStyle w:val="Compact"/>
              <w:jc w:val="left"/>
            </w:pPr>
            <w:r>
              <w:t xml:space="preserve">04 Jun 2025</w:t>
            </w:r>
          </w:p>
        </w:tc>
        <w:tc>
          <w:tcPr/>
          <w:p>
            <w:pPr>
              <w:pStyle w:val="Compact"/>
              <w:jc w:val="left"/>
            </w:pPr>
            <w:r>
              <w:t xml:space="preserve">8.0 hours</w:t>
            </w:r>
          </w:p>
        </w:tc>
        <w:tc>
          <w:tcPr/>
          <w:p>
            <w:pPr>
              <w:pStyle w:val="Compact"/>
              <w:jc w:val="left"/>
            </w:pPr>
            <w:r>
              <w:t xml:space="preserve">24,000,000</w:t>
            </w:r>
          </w:p>
        </w:tc>
      </w:tr>
      <w:tr>
        <w:tc>
          <w:tcPr/>
          <w:p>
            <w:pPr>
              <w:pStyle w:val="Compact"/>
              <w:jc w:val="left"/>
            </w:pPr>
            <w:r>
              <w:t xml:space="preserve">3</w:t>
            </w:r>
          </w:p>
        </w:tc>
        <w:tc>
          <w:tcPr/>
          <w:p>
            <w:pPr>
              <w:pStyle w:val="Compact"/>
              <w:jc w:val="left"/>
            </w:pPr>
            <w:r>
              <w:t xml:space="preserve">Representation of the client before the Jakarta South District Court (Pengadilan Negeri Jakarta Selatan) in a commercial dispute matter. The Lawyer appeared in court, filed motions, and conducted cross-examination of opposing witnesses.</w:t>
            </w:r>
          </w:p>
        </w:tc>
        <w:tc>
          <w:tcPr/>
          <w:p>
            <w:pPr>
              <w:pStyle w:val="Compact"/>
              <w:jc w:val="left"/>
            </w:pPr>
            <w:r>
              <w:t xml:space="preserve">06 Jun 2025</w:t>
            </w:r>
          </w:p>
        </w:tc>
        <w:tc>
          <w:tcPr/>
          <w:p>
            <w:pPr>
              <w:pStyle w:val="Compact"/>
              <w:jc w:val="left"/>
            </w:pPr>
            <w:r>
              <w:t xml:space="preserve">6.0 hours</w:t>
            </w:r>
          </w:p>
        </w:tc>
        <w:tc>
          <w:tcPr/>
          <w:p>
            <w:pPr>
              <w:pStyle w:val="Compact"/>
              <w:jc w:val="left"/>
            </w:pPr>
            <w:r>
              <w:t xml:space="preserve">18,000,000</w:t>
            </w:r>
          </w:p>
        </w:tc>
      </w:tr>
      <w:tr>
        <w:tc>
          <w:tcPr/>
          <w:p>
            <w:pPr>
              <w:pStyle w:val="Compact"/>
              <w:jc w:val="left"/>
            </w:pPr>
            <w:r>
              <w:t xml:space="preserve">4</w:t>
            </w:r>
          </w:p>
        </w:tc>
        <w:tc>
          <w:tcPr/>
          <w:p>
            <w:pPr>
              <w:pStyle w:val="Compact"/>
              <w:jc w:val="left"/>
            </w:pPr>
            <w:r>
              <w:t xml:space="preserve">Preparation of legal opinion letter regarding foreign investment compliance under the Indonesian Negative Investment List (DNI) and the Omnibus Law on Job Creation (UU Cipta Kerja). The Lawyer analyzed regulatory implications for the client's expansion plans in Indonesia Jakarta.</w:t>
            </w:r>
          </w:p>
        </w:tc>
        <w:tc>
          <w:tcPr/>
          <w:p>
            <w:pPr>
              <w:pStyle w:val="Compact"/>
              <w:jc w:val="left"/>
            </w:pPr>
            <w:r>
              <w:t xml:space="preserve">09 Jun 2025</w:t>
            </w:r>
          </w:p>
        </w:tc>
        <w:tc>
          <w:tcPr/>
          <w:p>
            <w:pPr>
              <w:pStyle w:val="Compact"/>
              <w:jc w:val="left"/>
            </w:pPr>
            <w:r>
              <w:t xml:space="preserve">5.5 hours</w:t>
            </w:r>
          </w:p>
        </w:tc>
        <w:tc>
          <w:tcPr/>
          <w:p>
            <w:pPr>
              <w:pStyle w:val="Compact"/>
              <w:jc w:val="left"/>
            </w:pPr>
            <w:r>
              <w:t xml:space="preserve">16,500,000</w:t>
            </w:r>
          </w:p>
        </w:tc>
      </w:tr>
      <w:tr>
        <w:tc>
          <w:tcPr/>
          <w:p>
            <w:pPr>
              <w:pStyle w:val="Compact"/>
              <w:jc w:val="left"/>
            </w:pPr>
            <w:r>
              <w:t xml:space="preserve">5</w:t>
            </w:r>
          </w:p>
        </w:tc>
        <w:tc>
          <w:tcPr/>
          <w:p>
            <w:pPr>
              <w:pStyle w:val="Compact"/>
              <w:jc w:val="left"/>
            </w:pPr>
            <w:r>
              <w:t xml:space="preserve">Attendance at a board of directors meeting to provide real-time legal counsel on a proposed acquisition of a local manufacturing entity. The Lawyer advised on due diligence findings, regulatory approvals required from the Ministry of Law and Human Rights, and antitrust considerations.</w:t>
            </w:r>
          </w:p>
        </w:tc>
        <w:tc>
          <w:tcPr/>
          <w:p>
            <w:pPr>
              <w:pStyle w:val="Compact"/>
              <w:jc w:val="left"/>
            </w:pPr>
            <w:r>
              <w:t xml:space="preserve">11 Jun 2025</w:t>
            </w:r>
          </w:p>
        </w:tc>
        <w:tc>
          <w:tcPr/>
          <w:p>
            <w:pPr>
              <w:pStyle w:val="Compact"/>
              <w:jc w:val="left"/>
            </w:pPr>
            <w:r>
              <w:t xml:space="preserve">3.0 hours</w:t>
            </w:r>
          </w:p>
        </w:tc>
        <w:tc>
          <w:tcPr/>
          <w:p>
            <w:pPr>
              <w:pStyle w:val="Compact"/>
              <w:jc w:val="left"/>
            </w:pPr>
            <w:r>
              <w:t xml:space="preserve">9,000,000</w:t>
            </w:r>
          </w:p>
        </w:tc>
      </w:tr>
      <w:tr>
        <w:tc>
          <w:tcPr/>
          <w:p>
            <w:pPr>
              <w:pStyle w:val="Compact"/>
              <w:jc w:val="left"/>
            </w:pPr>
            <w:r>
              <w:t xml:space="preserve">6</w:t>
            </w:r>
          </w:p>
        </w:tc>
        <w:tc>
          <w:tcPr/>
          <w:p>
            <w:pPr>
              <w:pStyle w:val="Compact"/>
              <w:jc w:val="left"/>
            </w:pPr>
            <w:r>
              <w:t xml:space="preserve">Administrative and support costs: filing fees at the Jakarta South District Court, certified document copies, courier services for legal correspondence within Indonesia Jakarta, and translation of supporting documents from Bahasa Indonesia to English.</w:t>
            </w:r>
          </w:p>
        </w:tc>
        <w:tc>
          <w:tcPr/>
          <w:p>
            <w:pPr>
              <w:pStyle w:val="Compact"/>
              <w:jc w:val="left"/>
            </w:pPr>
            <w:r>
              <w:t xml:space="preserve">02–14 Jun 2025</w:t>
            </w:r>
          </w:p>
        </w:tc>
        <w:tc>
          <w:tcPr/>
          <w:p>
            <w:pPr>
              <w:pStyle w:val="Compact"/>
              <w:jc w:val="left"/>
            </w:pPr>
            <w:r>
              <w:t xml:space="preserve">Flat fee</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85,750,000</w:t>
            </w:r>
          </w:p>
        </w:tc>
      </w:tr>
      <w:tr>
        <w:tc>
          <w:tcPr/>
          <w:p>
            <w:pPr>
              <w:pStyle w:val="Compact"/>
              <w:jc w:val="left"/>
            </w:pPr>
            <w:r>
              <w:t xml:space="preserve">VAT (PPN) 11%</w:t>
            </w:r>
          </w:p>
        </w:tc>
        <w:tc>
          <w:tcPr/>
          <w:p>
            <w:pPr>
              <w:pStyle w:val="Compact"/>
              <w:jc w:val="right"/>
            </w:pPr>
            <w:r>
              <w:t xml:space="preserve">9,432,500</w:t>
            </w:r>
          </w:p>
        </w:tc>
      </w:tr>
      <w:tr>
        <w:tc>
          <w:tcPr/>
          <w:p>
            <w:pPr>
              <w:pStyle w:val="Compact"/>
              <w:jc w:val="left"/>
            </w:pPr>
            <w:r>
              <w:t xml:space="preserve">Withholding Tax (PPh 23) 2% — deducted</w:t>
            </w:r>
          </w:p>
        </w:tc>
        <w:tc>
          <w:tcPr/>
          <w:p>
            <w:pPr>
              <w:pStyle w:val="Compact"/>
              <w:jc w:val="right"/>
            </w:pPr>
            <w:r>
              <w:t xml:space="preserve">(1,715,000)</w:t>
            </w:r>
          </w:p>
        </w:tc>
      </w:tr>
      <w:tr>
        <w:tc>
          <w:tcPr/>
          <w:p>
            <w:pPr>
              <w:pStyle w:val="Compact"/>
              <w:jc w:val="left"/>
            </w:pPr>
            <w:r>
              <w:t xml:space="preserve">NET AMOUNT DUE</w:t>
            </w:r>
          </w:p>
        </w:tc>
        <w:tc>
          <w:tcPr/>
          <w:p>
            <w:pPr>
              <w:pStyle w:val="Compact"/>
              <w:jc w:val="right"/>
            </w:pPr>
            <w:r>
              <w:t xml:space="preserve">93,467,500</w:t>
            </w:r>
          </w:p>
        </w:tc>
      </w:tr>
    </w:tbl>
    <w:bookmarkEnd w:id="21"/>
    <w:bookmarkStart w:id="22" w:name="payment-terms-and-conditions"/>
    <w:p>
      <w:pPr>
        <w:pStyle w:val="Heading2"/>
      </w:pPr>
      <w:r>
        <w:t xml:space="preserve">Payment Terms and Conditions</w:t>
      </w:r>
    </w:p>
    <w:p>
      <w:pPr>
        <w:numPr>
          <w:ilvl w:val="0"/>
          <w:numId w:val="1001"/>
        </w:numPr>
        <w:pStyle w:val="Compact"/>
      </w:pPr>
      <w:r>
        <w:t xml:space="preserve">This Invoice must be settled in full no later than the Due Date stated above (30 June 2025). Payment is to be made via bank transfer to the firm's designated account: Bank Mandiri, Account No. 137-00-1234567-89, Account Name: PT. Nusantara Legal Counsel &amp; Associates, Jakarta, Indonesia.</w:t>
      </w:r>
    </w:p>
    <w:p>
      <w:pPr>
        <w:numPr>
          <w:ilvl w:val="0"/>
          <w:numId w:val="1001"/>
        </w:numPr>
        <w:pStyle w:val="Compact"/>
      </w:pPr>
      <w:r>
        <w:t xml:space="preserve">In the event of late payment, a penalty of 2% per month (or the maximum rate permitted under Indonesian law, whichever is lower) shall be applied to the outstanding balance from the Due Date until full settlement is received.</w:t>
      </w:r>
    </w:p>
    <w:p>
      <w:pPr>
        <w:numPr>
          <w:ilvl w:val="0"/>
          <w:numId w:val="1001"/>
        </w:numPr>
        <w:pStyle w:val="Compact"/>
      </w:pPr>
      <w:r>
        <w:t xml:space="preserve">The Lawyer reserves the right to suspend all ongoing legal representation and services to the client should this Invoice remain unpaid beyond fifteen (15) calendar days past the Due Date, in accordance with the retainer agreement executed on 1 January 2025.</w:t>
      </w:r>
    </w:p>
    <w:p>
      <w:pPr>
        <w:numPr>
          <w:ilvl w:val="0"/>
          <w:numId w:val="1001"/>
        </w:numPr>
        <w:pStyle w:val="Compact"/>
      </w:pPr>
      <w:r>
        <w:t xml:space="preserve">All amounts stated in this Invoice are in Indonesian Rupiah (IDR). The applicable Value Added Tax (Pajak Pertambahan Nilai / PPN) of 11% has been calculated in compliance with Indonesian tax regulations. The 2% Withholding Tax (Pajak Penghasilan Pasal 23) has been deducted at source as required by the Directorate General of Taxes (Ditjen Pajak).</w:t>
      </w:r>
    </w:p>
    <w:p>
      <w:pPr>
        <w:numPr>
          <w:ilvl w:val="0"/>
          <w:numId w:val="1001"/>
        </w:numPr>
        <w:pStyle w:val="Compact"/>
      </w:pPr>
      <w:r>
        <w:t xml:space="preserve">This Invoice constitutes a final and binding statement of fees for the services described herein. Any additional services rendered outside the scope of the original engagement will be subject to a separate Invoice and prior written approval from the client.</w:t>
      </w:r>
    </w:p>
    <w:p>
      <w:pPr>
        <w:numPr>
          <w:ilvl w:val="0"/>
          <w:numId w:val="1001"/>
        </w:numPr>
        <w:pStyle w:val="Compact"/>
      </w:pPr>
      <w:r>
        <w:t xml:space="preserve">All disputes arising from this Invoice or the underlying legal services shall be resolved through arbitration administered by the Indonesian National Board of Arbitration (BANI) in Indonesia Jakarta, in accordance with the BANI Arbitration Rules. The language of arbitration shall be Bahasa Indonesia.</w:t>
      </w:r>
    </w:p>
    <w:p>
      <w:pPr>
        <w:numPr>
          <w:ilvl w:val="0"/>
          <w:numId w:val="1001"/>
        </w:numPr>
        <w:pStyle w:val="Compact"/>
      </w:pPr>
      <w:r>
        <w:t xml:space="preserve">The Lawyer and the firm maintain strict confidentiality regarding all matters disclosed during the course of professional engagement, as mandated by the Code of Ethics of the Indonesian Legal Profession (Kode Etik Advokat Indonesia).</w:t>
      </w:r>
    </w:p>
    <w:p>
      <w:pPr>
        <w:pStyle w:val="FirstParagraph"/>
      </w:pPr>
      <w:r>
        <w:rPr>
          <w:bCs/>
          <w:b/>
        </w:rPr>
        <w:t xml:space="preserve">Prepared and Issued By:</w:t>
      </w:r>
      <w:r>
        <w:br/>
      </w:r>
      <w:r>
        <w:t xml:space="preserve">Adv. Dr. Hendra Wijaya, S.H., M.H.</w:t>
      </w:r>
      <w:r>
        <w:br/>
      </w:r>
      <w:r>
        <w:t xml:space="preserve">Senior Partner &amp; Lead Lawyer</w:t>
      </w:r>
      <w:r>
        <w:br/>
      </w:r>
      <w:r>
        <w:t xml:space="preserve">PT. Nusantara Legal Counsel &amp; Associates</w:t>
      </w:r>
      <w:r>
        <w:br/>
      </w:r>
      <w:r>
        <w:t xml:space="preserve">Indonesia Jakarta</w:t>
      </w:r>
    </w:p>
    <w:p>
      <w:pPr>
        <w:pStyle w:val="BodyText"/>
      </w:pPr>
      <w:r>
        <w:rPr>
          <w:bCs/>
          <w:b/>
        </w:rPr>
        <w:t xml:space="preserve">Received and Acknowledged By:</w:t>
      </w:r>
      <w:r>
        <w:br/>
      </w:r>
      <w:r>
        <w:t xml:space="preserve">Mr. Budi Santoso</w:t>
      </w:r>
      <w:r>
        <w:br/>
      </w:r>
      <w:r>
        <w:t xml:space="preserve">General Counsel</w:t>
      </w:r>
      <w:r>
        <w:br/>
      </w:r>
      <w:r>
        <w:t xml:space="preserve">PT. Artha Mandiri Group</w:t>
      </w:r>
      <w:r>
        <w:br/>
      </w:r>
      <w:r>
        <w:t xml:space="preserve">Indonesia Jakarta</w:t>
      </w:r>
    </w:p>
    <w:p>
      <w:pPr>
        <w:pStyle w:val="BodyText"/>
      </w:pPr>
      <w:r>
        <w:t xml:space="preserve">This Invoice is a legally binding document issued under the laws of the Republic of Indonesia. It is valid without a stamp (meterai) for amounts below IDR 5,000,000; for amounts exceeding that threshold, a stamp duty of IDR 10,000 applies. This document was generated electronically and carries the same legal force as a physical copy. For inquiries regarding this Invoice, please contact the billing department at billing@nusantaralegal.co.id or call +62-21-5790-8800 during business hours (Monday to Friday, 08:00–17:00 WIB, Indonesia Jakarta time).</w:t>
      </w:r>
    </w:p>
    <w:p>
      <w:pPr>
        <w:pStyle w:val="BodyText"/>
      </w:pPr>
      <w:r>
        <w:t xml:space="preserve">© 2025 PT. Nusantara Legal Counsel &amp; Associates. All rights reserved. Registered with the Indonesian Bar Association (Peradi), Jakarta Chapter.</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Jakarta, Indonesia</dc:title>
  <dc:creator/>
  <dc:language>en</dc:language>
  <cp:keywords/>
  <dcterms:created xsi:type="dcterms:W3CDTF">2026-10-10T08:41:35Z</dcterms:created>
  <dcterms:modified xsi:type="dcterms:W3CDTF">2026-10-10T08:41:35Z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