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invoice"/>
    <w:p>
      <w:pPr>
        <w:pStyle w:val="Heading1"/>
      </w:pPr>
      <w:r>
        <w:t xml:space="preserve">INVOICE</w:t>
      </w:r>
    </w:p>
    <w:p>
      <w:pPr>
        <w:pStyle w:val="FirstParagraph"/>
      </w:pPr>
      <w:r>
        <w:t xml:space="preserve">Legal Services Invoice — Attorney at Law, Tehran, Iran</w:t>
      </w:r>
    </w:p>
    <w:p>
      <w:pPr>
        <w:pStyle w:val="BodyText"/>
      </w:pPr>
      <w:r>
        <w:t xml:space="preserve">This Invoice is issued in accordance with the legal regulations of the Islamic Republic of Iran</w:t>
      </w:r>
    </w:p>
    <w:bookmarkEnd w:id="20"/>
    <w:bookmarkStart w:id="21" w:name="lawyer-firm-details"/>
    <w:p>
      <w:pPr>
        <w:pStyle w:val="Heading3"/>
      </w:pPr>
      <w:r>
        <w:t xml:space="preserve">Lawyer / Firm Details</w:t>
      </w:r>
    </w:p>
    <w:p>
      <w:pPr>
        <w:pStyle w:val="FirstParagraph"/>
      </w:pPr>
      <w:r>
        <w:rPr>
          <w:bCs/>
          <w:b/>
        </w:rPr>
        <w:t xml:space="preserve">Attorney:</w:t>
      </w:r>
      <w:r>
        <w:t xml:space="preserve"> </w:t>
      </w:r>
      <w:r>
        <w:t xml:space="preserve">Dr. Amir Hossein Karimi, Esq.</w:t>
      </w:r>
    </w:p>
    <w:p>
      <w:pPr>
        <w:pStyle w:val="BodyText"/>
      </w:pPr>
      <w:r>
        <w:rPr>
          <w:bCs/>
          <w:b/>
        </w:rPr>
        <w:t xml:space="preserve">Firm:</w:t>
      </w:r>
      <w:r>
        <w:t xml:space="preserve"> </w:t>
      </w:r>
      <w:r>
        <w:t xml:space="preserve">Karimi &amp; Associates Legal Practice</w:t>
      </w:r>
    </w:p>
    <w:p>
      <w:pPr>
        <w:pStyle w:val="BodyText"/>
      </w:pPr>
      <w:r>
        <w:rPr>
          <w:bCs/>
          <w:b/>
        </w:rPr>
        <w:t xml:space="preserve">Address:</w:t>
      </w:r>
      <w:r>
        <w:t xml:space="preserve"> </w:t>
      </w:r>
      <w:r>
        <w:t xml:space="preserve">No. 47, Vali-e-Asr Street, 12th Floor, Office 1208, Tehran, Iran</w:t>
      </w:r>
    </w:p>
    <w:p>
      <w:pPr>
        <w:pStyle w:val="BodyText"/>
      </w:pPr>
      <w:r>
        <w:rPr>
          <w:bCs/>
          <w:b/>
        </w:rPr>
        <w:t xml:space="preserve">Bar Registration:</w:t>
      </w:r>
      <w:r>
        <w:t xml:space="preserve"> </w:t>
      </w:r>
      <w:r>
        <w:t xml:space="preserve">Tehran Bar Association, License No. 4521-IR</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info@karimilegal-iran.com</w:t>
      </w:r>
    </w:p>
    <w:bookmarkEnd w:id="21"/>
    <w:bookmarkStart w:id="22" w:name="client-bill-to"/>
    <w:p>
      <w:pPr>
        <w:pStyle w:val="Heading3"/>
      </w:pPr>
      <w:r>
        <w:t xml:space="preserve">Client / Bill To</w:t>
      </w:r>
    </w:p>
    <w:p>
      <w:pPr>
        <w:pStyle w:val="FirstParagraph"/>
      </w:pPr>
      <w:r>
        <w:rPr>
          <w:bCs/>
          <w:b/>
        </w:rPr>
        <w:t xml:space="preserve">Client Name:</w:t>
      </w:r>
      <w:r>
        <w:t xml:space="preserve"> </w:t>
      </w:r>
      <w:r>
        <w:t xml:space="preserve">Ms. Fatemeh Rahimpour</w:t>
      </w:r>
    </w:p>
    <w:p>
      <w:pPr>
        <w:pStyle w:val="BodyText"/>
      </w:pPr>
      <w:r>
        <w:rPr>
          <w:bCs/>
          <w:b/>
        </w:rPr>
        <w:t xml:space="preserve">Company:</w:t>
      </w:r>
      <w:r>
        <w:t xml:space="preserve"> </w:t>
      </w:r>
      <w:r>
        <w:t xml:space="preserve">Rahimpour Trading Co., Ltd.</w:t>
      </w:r>
    </w:p>
    <w:p>
      <w:pPr>
        <w:pStyle w:val="BodyText"/>
      </w:pPr>
      <w:r>
        <w:rPr>
          <w:bCs/>
          <w:b/>
        </w:rPr>
        <w:t xml:space="preserve">Address:</w:t>
      </w:r>
      <w:r>
        <w:t xml:space="preserve"> </w:t>
      </w:r>
      <w:r>
        <w:t xml:space="preserve">No. 12, Enghelab Avenue, 5th Floor, Tehran, Iran</w:t>
      </w:r>
    </w:p>
    <w:p>
      <w:pPr>
        <w:pStyle w:val="BodyText"/>
      </w:pPr>
      <w:r>
        <w:rPr>
          <w:bCs/>
          <w:b/>
        </w:rPr>
        <w:t xml:space="preserve">National ID:</w:t>
      </w:r>
      <w:r>
        <w:t xml:space="preserve"> </w:t>
      </w:r>
      <w:r>
        <w:t xml:space="preserve">0045-8291-3376</w:t>
      </w:r>
    </w:p>
    <w:p>
      <w:pPr>
        <w:pStyle w:val="BodyText"/>
      </w:pPr>
      <w:r>
        <w:rPr>
          <w:bCs/>
          <w:b/>
        </w:rPr>
        <w:t xml:space="preserve">Phone:</w:t>
      </w:r>
      <w:r>
        <w:t xml:space="preserve"> </w:t>
      </w:r>
      <w:r>
        <w:t xml:space="preserve">+98-912-345-6789</w:t>
      </w:r>
    </w:p>
    <w:p>
      <w:pPr>
        <w:pStyle w:val="BodyText"/>
      </w:pPr>
      <w:r>
        <w:rPr>
          <w:bCs/>
          <w:b/>
        </w:rPr>
        <w:t xml:space="preserve">Email:</w:t>
      </w:r>
      <w:r>
        <w:t xml:space="preserve"> </w:t>
      </w:r>
      <w:r>
        <w:t xml:space="preserve">f.rahimpour@rtco-iran.com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INV-2025-TEH-00347</w:t>
            </w:r>
          </w:p>
        </w:tc>
      </w:tr>
      <w:tr>
        <w:tc>
          <w:tcPr/>
          <w:p>
            <w:pPr>
              <w:pStyle w:val="Compact"/>
              <w:jc w:val="left"/>
            </w:pPr>
            <w:r>
              <w:t xml:space="preserve">Date of Issue:</w:t>
            </w:r>
          </w:p>
        </w:tc>
        <w:tc>
          <w:tcPr/>
          <w:p>
            <w:pPr>
              <w:pStyle w:val="Compact"/>
              <w:jc w:val="left"/>
            </w:pPr>
            <w:r>
              <w:t xml:space="preserve">15 Farvardin 1404 (March 5, 2025)</w:t>
            </w:r>
          </w:p>
        </w:tc>
      </w:tr>
      <w:tr>
        <w:tc>
          <w:tcPr/>
          <w:p>
            <w:pPr>
              <w:pStyle w:val="Compact"/>
              <w:jc w:val="left"/>
            </w:pPr>
            <w:r>
              <w:t xml:space="preserve">Due Date:</w:t>
            </w:r>
          </w:p>
        </w:tc>
        <w:tc>
          <w:tcPr/>
          <w:p>
            <w:pPr>
              <w:pStyle w:val="Compact"/>
              <w:jc w:val="left"/>
            </w:pPr>
            <w:r>
              <w:t xml:space="preserve">30 Farvardin 1404 (March 20, 2025)</w:t>
            </w:r>
          </w:p>
        </w:tc>
      </w:tr>
      <w:tr>
        <w:tc>
          <w:tcPr/>
          <w:p>
            <w:pPr>
              <w:pStyle w:val="Compact"/>
              <w:jc w:val="left"/>
            </w:pPr>
            <w:r>
              <w:t xml:space="preserve">Case Reference:</w:t>
            </w:r>
          </w:p>
        </w:tc>
        <w:tc>
          <w:tcPr/>
          <w:p>
            <w:pPr>
              <w:pStyle w:val="Compact"/>
              <w:jc w:val="left"/>
            </w:pPr>
            <w:r>
              <w:t xml:space="preserve">Commercial Dispute — Tehran District 4 Court, File No. 1404/00892</w:t>
            </w:r>
          </w:p>
        </w:tc>
      </w:tr>
      <w:tr>
        <w:tc>
          <w:tcPr/>
          <w:p>
            <w:pPr>
              <w:pStyle w:val="Compact"/>
              <w:jc w:val="left"/>
            </w:pPr>
            <w:r>
              <w:t xml:space="preserve">Currency:</w:t>
            </w:r>
          </w:p>
        </w:tc>
        <w:tc>
          <w:tcPr/>
          <w:p>
            <w:pPr>
              <w:pStyle w:val="Compact"/>
              <w:jc w:val="left"/>
            </w:pPr>
            <w:r>
              <w:t xml:space="preserve">Iranian Rial (IRR) / USD equivalent</w:t>
            </w:r>
          </w:p>
        </w:tc>
      </w:tr>
      <w:tr>
        <w:tc>
          <w:tcPr/>
          <w:p>
            <w:pPr>
              <w:pStyle w:val="Compact"/>
              <w:jc w:val="left"/>
            </w:pPr>
            <w:r>
              <w:t xml:space="preserve">Payment Method:</w:t>
            </w:r>
          </w:p>
        </w:tc>
        <w:tc>
          <w:tcPr/>
          <w:p>
            <w:pPr>
              <w:pStyle w:val="Compact"/>
              <w:jc w:val="left"/>
            </w:pPr>
            <w:r>
              <w:t xml:space="preserve">Bank Transfer — Bank Melli, Branch: Tehran Central, IBAN: IR50 0140 0000 0000 0000 0000 00</w:t>
            </w:r>
          </w:p>
        </w:tc>
      </w:tr>
    </w:tbl>
    <w:bookmarkStart w:id="24" w:name="X0b25b31d720b1c39146bdfeab7a54df653e85de"/>
    <w:p>
      <w:pPr>
        <w:pStyle w:val="Heading2"/>
      </w:pPr>
      <w:r>
        <w:t xml:space="preserve">Description of Legal Services Rendered by the Lawyer</w:t>
      </w:r>
    </w:p>
    <w:p>
      <w:pPr>
        <w:pStyle w:val="FirstParagraph"/>
      </w:pPr>
      <w:r>
        <w:t xml:space="preserve">The following Invoice itemizes the professional legal services provided by the undersigned Lawyer, Dr. Amir Hossein Karimi, acting as retained counsel for the Client in the matter referenced above. All services were performed within the jurisdiction of Iran, Tehran, in compliance with the Civil Procedure Code of the Islamic Republic of Iran and the applicable rules of the Tehran Bar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Fee (IRR)</w:t>
            </w:r>
          </w:p>
        </w:tc>
      </w:tr>
      <w:tr>
        <w:tc>
          <w:tcPr/>
          <w:p>
            <w:pPr>
              <w:pStyle w:val="Compact"/>
              <w:jc w:val="left"/>
            </w:pPr>
            <w:r>
              <w:t xml:space="preserve">1</w:t>
            </w:r>
          </w:p>
        </w:tc>
        <w:tc>
          <w:tcPr/>
          <w:p>
            <w:pPr>
              <w:pStyle w:val="Compact"/>
              <w:jc w:val="left"/>
            </w:pPr>
            <w:r>
              <w:t xml:space="preserve">Initial consultation and case assessment regarding commercial contract dispute with a third-party supplier. The Lawyer reviewed all contractual documents, correspondence, and evidence provided by the Client.</w:t>
            </w:r>
          </w:p>
        </w:tc>
        <w:tc>
          <w:tcPr/>
          <w:p>
            <w:pPr>
              <w:pStyle w:val="Compact"/>
              <w:jc w:val="left"/>
            </w:pPr>
            <w:r>
              <w:t xml:space="preserve">28 Esfand 1403</w:t>
            </w:r>
          </w:p>
        </w:tc>
        <w:tc>
          <w:tcPr/>
          <w:p>
            <w:pPr>
              <w:pStyle w:val="Compact"/>
              <w:jc w:val="left"/>
            </w:pPr>
            <w:r>
              <w:t xml:space="preserve">3 hours</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Drafting and filing of the formal complaint (Dadkhast) with the Tehran District 4 Commercial Court. The Lawyer prepared the legal petition, attached supporting documentation, and submitted the case for docketing.</w:t>
            </w:r>
          </w:p>
        </w:tc>
        <w:tc>
          <w:tcPr/>
          <w:p>
            <w:pPr>
              <w:pStyle w:val="Compact"/>
              <w:jc w:val="left"/>
            </w:pPr>
            <w:r>
              <w:t xml:space="preserve">02 Farvardin 1404</w:t>
            </w:r>
          </w:p>
        </w:tc>
        <w:tc>
          <w:tcPr/>
          <w:p>
            <w:pPr>
              <w:pStyle w:val="Compact"/>
              <w:jc w:val="left"/>
            </w:pPr>
            <w:r>
              <w:t xml:space="preserve">5 hours</w:t>
            </w:r>
          </w:p>
        </w:tc>
        <w:tc>
          <w:tcPr/>
          <w:p>
            <w:pPr>
              <w:pStyle w:val="Compact"/>
              <w:jc w:val="left"/>
            </w:pPr>
            <w:r>
              <w:t xml:space="preserve">75,000,000</w:t>
            </w:r>
          </w:p>
        </w:tc>
      </w:tr>
      <w:tr>
        <w:tc>
          <w:tcPr/>
          <w:p>
            <w:pPr>
              <w:pStyle w:val="Compact"/>
              <w:jc w:val="left"/>
            </w:pPr>
            <w:r>
              <w:t xml:space="preserve">3</w:t>
            </w:r>
          </w:p>
        </w:tc>
        <w:tc>
          <w:tcPr/>
          <w:p>
            <w:pPr>
              <w:pStyle w:val="Compact"/>
              <w:jc w:val="left"/>
            </w:pPr>
            <w:r>
              <w:t xml:space="preserve">Preparation of legal memorandum and expert opinion on the applicability of the Iranian Civil Code (Articles 219–235) and the Commercial Code provisions relevant to breach of supply contract obligations.</w:t>
            </w:r>
          </w:p>
        </w:tc>
        <w:tc>
          <w:tcPr/>
          <w:p>
            <w:pPr>
              <w:pStyle w:val="Compact"/>
              <w:jc w:val="left"/>
            </w:pPr>
            <w:r>
              <w:t xml:space="preserve">05 Farvardin 1404</w:t>
            </w:r>
          </w:p>
        </w:tc>
        <w:tc>
          <w:tcPr/>
          <w:p>
            <w:pPr>
              <w:pStyle w:val="Compact"/>
              <w:jc w:val="left"/>
            </w:pPr>
            <w:r>
              <w:t xml:space="preserve">6 hours</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Representation of the Client at the first hearing before the Tehran District 4 Court. The Lawyer presented oral arguments, cross-examined the opposing party’s witnesses, and submitted supplementary evidence on behalf of the Client.</w:t>
            </w:r>
          </w:p>
        </w:tc>
        <w:tc>
          <w:tcPr/>
          <w:p>
            <w:pPr>
              <w:pStyle w:val="Compact"/>
              <w:jc w:val="left"/>
            </w:pPr>
            <w:r>
              <w:t xml:space="preserve">08 Farvardin 1404</w:t>
            </w:r>
          </w:p>
        </w:tc>
        <w:tc>
          <w:tcPr/>
          <w:p>
            <w:pPr>
              <w:pStyle w:val="Compact"/>
              <w:jc w:val="left"/>
            </w:pPr>
            <w:r>
              <w:t xml:space="preserve">4 hours</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Drafting of the written defense brief (Layeh) and submission to the court registry. The Lawyer incorporated relevant precedents from the Supreme Court of Iran and the Court of Appeals in Tehran.</w:t>
            </w:r>
          </w:p>
        </w:tc>
        <w:tc>
          <w:tcPr/>
          <w:p>
            <w:pPr>
              <w:pStyle w:val="Compact"/>
              <w:jc w:val="left"/>
            </w:pPr>
            <w:r>
              <w:t xml:space="preserve">10 Farvardin 1404</w:t>
            </w:r>
          </w:p>
        </w:tc>
        <w:tc>
          <w:tcPr/>
          <w:p>
            <w:pPr>
              <w:pStyle w:val="Compact"/>
              <w:jc w:val="left"/>
            </w:pPr>
            <w:r>
              <w:t xml:space="preserve">4 hours</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Coordination with the court-appointed forensic accountant and review of the financial audit report prepared for the Tehran court proceedings. The Lawyer provided written comments and objections to the report.</w:t>
            </w:r>
          </w:p>
        </w:tc>
        <w:tc>
          <w:tcPr/>
          <w:p>
            <w:pPr>
              <w:pStyle w:val="Compact"/>
              <w:jc w:val="left"/>
            </w:pPr>
            <w:r>
              <w:t xml:space="preserve">12 Farvardin 1404</w:t>
            </w:r>
          </w:p>
        </w:tc>
        <w:tc>
          <w:tcPr/>
          <w:p>
            <w:pPr>
              <w:pStyle w:val="Compact"/>
              <w:jc w:val="left"/>
            </w:pPr>
            <w:r>
              <w:t xml:space="preserve">3 hours</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Client advisory session regarding settlement negotiations and risk assessment. The Lawyer advised the Client on the legal implications of potential settlement under Iranian mediation law (Qanun-e Tahkim).</w:t>
            </w:r>
          </w:p>
        </w:tc>
        <w:tc>
          <w:tcPr/>
          <w:p>
            <w:pPr>
              <w:pStyle w:val="Compact"/>
              <w:jc w:val="left"/>
            </w:pPr>
            <w:r>
              <w:t xml:space="preserve">14 Farvardin 1404</w:t>
            </w:r>
          </w:p>
        </w:tc>
        <w:tc>
          <w:tcPr/>
          <w:p>
            <w:pPr>
              <w:pStyle w:val="Compact"/>
              <w:jc w:val="left"/>
            </w:pPr>
            <w:r>
              <w:t xml:space="preserve">2 hours</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405,000,000 IRR</w:t>
            </w:r>
          </w:p>
        </w:tc>
      </w:tr>
      <w:tr>
        <w:tc>
          <w:tcPr/>
          <w:p>
            <w:pPr>
              <w:pStyle w:val="Compact"/>
              <w:jc w:val="left"/>
            </w:pPr>
            <w:r>
              <w:t xml:space="preserve">Court Filing Fees (reimbursed):</w:t>
            </w:r>
          </w:p>
        </w:tc>
        <w:tc>
          <w:tcPr/>
          <w:p>
            <w:pPr>
              <w:pStyle w:val="Compact"/>
              <w:jc w:val="right"/>
            </w:pPr>
            <w:r>
              <w:t xml:space="preserve">12,500,000 IRR</w:t>
            </w:r>
          </w:p>
        </w:tc>
      </w:tr>
      <w:tr>
        <w:tc>
          <w:tcPr/>
          <w:p>
            <w:pPr>
              <w:pStyle w:val="Compact"/>
              <w:jc w:val="left"/>
            </w:pPr>
            <w:r>
              <w:t xml:space="preserve">Document Authentication &amp; Notary (Tehran):</w:t>
            </w:r>
          </w:p>
        </w:tc>
        <w:tc>
          <w:tcPr/>
          <w:p>
            <w:pPr>
              <w:pStyle w:val="Compact"/>
              <w:jc w:val="right"/>
            </w:pPr>
            <w:r>
              <w:t xml:space="preserve">3,200,000 IRR</w:t>
            </w:r>
          </w:p>
        </w:tc>
      </w:tr>
      <w:tr>
        <w:tc>
          <w:tcPr/>
          <w:p>
            <w:pPr>
              <w:pStyle w:val="Compact"/>
              <w:jc w:val="left"/>
            </w:pPr>
            <w:r>
              <w:t xml:space="preserve">VAT (9% — Iranian Value Added Tax):</w:t>
            </w:r>
          </w:p>
        </w:tc>
        <w:tc>
          <w:tcPr/>
          <w:p>
            <w:pPr>
              <w:pStyle w:val="Compact"/>
              <w:jc w:val="right"/>
            </w:pPr>
            <w:r>
              <w:t xml:space="preserve">38,733,000 IRR</w:t>
            </w:r>
          </w:p>
        </w:tc>
      </w:tr>
      <w:tr>
        <w:tc>
          <w:tcPr/>
          <w:p>
            <w:pPr>
              <w:pStyle w:val="Compact"/>
              <w:jc w:val="left"/>
            </w:pPr>
            <w:r>
              <w:t xml:space="preserve">GRAND TOTAL DUE:</w:t>
            </w:r>
          </w:p>
        </w:tc>
        <w:tc>
          <w:tcPr/>
          <w:p>
            <w:pPr>
              <w:pStyle w:val="Compact"/>
              <w:jc w:val="right"/>
            </w:pPr>
            <w:r>
              <w:t xml:space="preserve">459,433,000 IRR</w:t>
            </w:r>
          </w:p>
        </w:tc>
      </w:tr>
      <w:tr>
        <w:tc>
          <w:tcPr/>
          <w:p>
            <w:pPr>
              <w:pStyle w:val="Compact"/>
              <w:jc w:val="left"/>
            </w:pPr>
            <w:r>
              <w:t xml:space="preserve">(Approx. USD 11,485 at prevailing rate)</w:t>
            </w:r>
          </w:p>
        </w:tc>
        <w:tc>
          <w:tcPr/>
          <w:p>
            <w:pPr>
              <w:pStyle w:val="Compact"/>
            </w:pP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constitutes the final and binding statement of fees for the legal services rendered by the Lawyer as described herein. The Client acknowledges receipt and acceptance of this Invoice for the matter filed in Tehran, Iran.</w:t>
      </w:r>
    </w:p>
    <w:p>
      <w:pPr>
        <w:numPr>
          <w:ilvl w:val="0"/>
          <w:numId w:val="1001"/>
        </w:numPr>
        <w:pStyle w:val="Compact"/>
      </w:pPr>
      <w:r>
        <w:t xml:space="preserve">Payment of the full amount stated in this Invoice is due within fifteen (15) calendar days from the date of issue. Late payments shall incur a penalty of 2% per month in accordance with Iranian commercial law.</w:t>
      </w:r>
    </w:p>
    <w:p>
      <w:pPr>
        <w:numPr>
          <w:ilvl w:val="0"/>
          <w:numId w:val="1001"/>
        </w:numPr>
        <w:pStyle w:val="Compact"/>
      </w:pPr>
      <w:r>
        <w:t xml:space="preserve">The Lawyer reserves the right to suspend further legal representation and court appearances in Tehran until all outstanding amounts on this Invoice are settled in full.</w:t>
      </w:r>
    </w:p>
    <w:p>
      <w:pPr>
        <w:numPr>
          <w:ilvl w:val="0"/>
          <w:numId w:val="1001"/>
        </w:numPr>
        <w:pStyle w:val="Compact"/>
      </w:pPr>
      <w:r>
        <w:t xml:space="preserve">All fees listed in this Invoice are exclusive of any contingency or success-based compensation, which shall be governed by a separate retainer agreement executed between the Lawyer and the Client.</w:t>
      </w:r>
    </w:p>
    <w:p>
      <w:pPr>
        <w:numPr>
          <w:ilvl w:val="0"/>
          <w:numId w:val="1001"/>
        </w:numPr>
        <w:pStyle w:val="Compact"/>
      </w:pPr>
      <w:r>
        <w:t xml:space="preserve">This Invoice is subject to the jurisdiction of the courts of Tehran, Iran. Any disputes arising from the interpretation or payment of this Invoice shall be resolved in accordance with the laws of the Islamic Republic of Iran.</w:t>
      </w:r>
    </w:p>
    <w:p>
      <w:pPr>
        <w:numPr>
          <w:ilvl w:val="0"/>
          <w:numId w:val="1001"/>
        </w:numPr>
        <w:pStyle w:val="Compact"/>
      </w:pPr>
      <w:r>
        <w:t xml:space="preserve">The Client is advised that this Invoice does not constitute a guarantee of any particular legal outcome. The Lawyer has provided professional legal services in good faith and in accordance with the ethical standards of the Tehran Bar Association.</w:t>
      </w:r>
    </w:p>
    <w:p>
      <w:pPr>
        <w:numPr>
          <w:ilvl w:val="0"/>
          <w:numId w:val="1001"/>
        </w:numPr>
        <w:pStyle w:val="Compact"/>
      </w:pPr>
      <w:r>
        <w:t xml:space="preserve">Retained copies of this Invoice and all supporting documentation shall be maintained by the Lawyer’s office in Tehran for a minimum period of ten (10) years as required by Iranian record-keeping regulations.</w:t>
      </w:r>
    </w:p>
    <w:bookmarkEnd w:id="23"/>
    <w:p>
      <w:pPr>
        <w:pStyle w:val="FirstParagraph"/>
      </w:pPr>
      <w:r>
        <w:t xml:space="preserve">Lawyer’s Signature &amp; Seal</w:t>
      </w:r>
    </w:p>
    <w:p>
      <w:pPr>
        <w:pStyle w:val="BodyText"/>
      </w:pPr>
      <w:r>
        <w:t xml:space="preserve">Client Acknowledgment</w:t>
      </w:r>
    </w:p>
    <w:p>
      <w:pPr>
        <w:pStyle w:val="BodyText"/>
      </w:pPr>
      <w:r>
        <w:rPr>
          <w:bCs/>
          <w:b/>
        </w:rPr>
        <w:t xml:space="preserve">Karimi &amp; Associates Legal Practice</w:t>
      </w:r>
      <w:r>
        <w:t xml:space="preserve"> </w:t>
      </w:r>
      <w:r>
        <w:t xml:space="preserve">— Tehran, Iran</w:t>
      </w:r>
    </w:p>
    <w:p>
      <w:pPr>
        <w:pStyle w:val="BodyText"/>
      </w:pPr>
      <w:r>
        <w:t xml:space="preserve">Registered with the Tehran Bar Association | License No. 4521-IR | Tax ID: 1024587639</w:t>
      </w:r>
    </w:p>
    <w:p>
      <w:pPr>
        <w:pStyle w:val="BodyText"/>
      </w:pPr>
      <w:r>
        <w:t xml:space="preserve">This Invoice was prepared and issued in Tehran, Iran. For inquiries regarding this Invoice, please contact the Lawyer’s office at the address stated above.</w:t>
      </w:r>
    </w:p>
    <w:p>
      <w:pPr>
        <w:pStyle w:val="BodyText"/>
      </w:pPr>
      <w:r>
        <w:t xml:space="preserve">© 1404 Karimi &amp; Associates. All rights reserved. This document is a legally binding Invoice under Iranian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Tehran, Iran</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