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Law</w:t>
      </w:r>
      <w:r>
        <w:t xml:space="preserve"> </w:t>
      </w:r>
      <w:r>
        <w:t xml:space="preserve">Firm</w:t>
      </w:r>
      <w:r>
        <w:t xml:space="preserve"> </w:t>
      </w:r>
      <w:r>
        <w:t xml:space="preserve">Israel</w:t>
      </w:r>
      <w:r>
        <w:t xml:space="preserve"> </w:t>
      </w:r>
      <w:r>
        <w:t xml:space="preserve">Jerusalem</w:t>
      </w:r>
    </w:p>
    <w:bookmarkStart w:id="20" w:name="levy-associates-law-firm"/>
    <w:p>
      <w:pPr>
        <w:pStyle w:val="Heading1"/>
      </w:pPr>
      <w:r>
        <w:t xml:space="preserve">LEVY &amp; ASSOCIATES LAW FIRM</w:t>
      </w:r>
    </w:p>
    <w:p>
      <w:pPr>
        <w:pStyle w:val="FirstParagraph"/>
      </w:pPr>
      <w:r>
        <w:t xml:space="preserve">Licensed Attorney Practice | Israel Jerusalem</w:t>
      </w:r>
    </w:p>
    <w:p>
      <w:pPr>
        <w:pStyle w:val="BodyText"/>
      </w:pPr>
      <w:r>
        <w:t xml:space="preserve">42 King George Street, Jerusalem 9100000, Israel Jerusalem</w:t>
      </w:r>
      <w:r>
        <w:br/>
      </w:r>
      <w:r>
        <w:t xml:space="preserve">Tel: +972-2-625-4410 | Fax: +972-2-625-4411 | Email: legal@levyassociates-il.com</w:t>
      </w:r>
      <w:r>
        <w:br/>
      </w:r>
      <w:r>
        <w:t xml:space="preserve">Bar Registration No. 58291 | Israel Bar Association, Jerusalem District</w:t>
      </w:r>
    </w:p>
    <w:bookmarkEnd w:id="20"/>
    <w:p>
      <w:pPr>
        <w:pStyle w:val="BodyText"/>
      </w:pPr>
      <w:r>
        <w:t xml:space="preserve">INVOICE</w:t>
      </w:r>
    </w:p>
    <w:bookmarkStart w:id="21" w:name="invoice-details"/>
    <w:p>
      <w:pPr>
        <w:pStyle w:val="Heading3"/>
      </w:pPr>
      <w:r>
        <w:t xml:space="preserve">Invoice Details</w:t>
      </w:r>
    </w:p>
    <w:p>
      <w:pPr>
        <w:pStyle w:val="FirstParagraph"/>
      </w:pPr>
      <w:r>
        <w:rPr>
          <w:bCs/>
          <w:b/>
        </w:rPr>
        <w:t xml:space="preserve">Invoice Number:</w:t>
      </w:r>
      <w:r>
        <w:t xml:space="preserve"> </w:t>
      </w:r>
      <w:r>
        <w:t xml:space="preserve">IL-JER-2025-04872</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14 July 2025 (30 days)</w:t>
      </w:r>
    </w:p>
    <w:p>
      <w:pPr>
        <w:pStyle w:val="BodyText"/>
      </w:pPr>
      <w:r>
        <w:rPr>
          <w:bCs/>
          <w:b/>
        </w:rPr>
        <w:t xml:space="preserve">Currency:</w:t>
      </w:r>
      <w:r>
        <w:t xml:space="preserve"> </w:t>
      </w:r>
      <w:r>
        <w:t xml:space="preserve">Israeli New Shekel (ILS / ₪)</w:t>
      </w:r>
    </w:p>
    <w:p>
      <w:pPr>
        <w:pStyle w:val="BodyText"/>
      </w:pPr>
      <w:r>
        <w:rPr>
          <w:bCs/>
          <w:b/>
        </w:rPr>
        <w:t xml:space="preserve">VAT Registration:</w:t>
      </w:r>
      <w:r>
        <w:t xml:space="preserve"> </w:t>
      </w:r>
      <w:r>
        <w:t xml:space="preserve">51-204-887-33</w:t>
      </w:r>
    </w:p>
    <w:bookmarkEnd w:id="21"/>
    <w:bookmarkStart w:id="22" w:name="billed-to-client"/>
    <w:p>
      <w:pPr>
        <w:pStyle w:val="Heading3"/>
      </w:pPr>
      <w:r>
        <w:t xml:space="preserve">Billed To (Client)</w:t>
      </w:r>
    </w:p>
    <w:p>
      <w:pPr>
        <w:pStyle w:val="FirstParagraph"/>
      </w:pPr>
      <w:r>
        <w:rPr>
          <w:bCs/>
          <w:b/>
        </w:rPr>
        <w:t xml:space="preserve">Client Name:</w:t>
      </w:r>
      <w:r>
        <w:t xml:space="preserve"> </w:t>
      </w:r>
      <w:r>
        <w:t xml:space="preserve">Mr. David Rosenfeld</w:t>
      </w:r>
    </w:p>
    <w:p>
      <w:pPr>
        <w:pStyle w:val="BodyText"/>
      </w:pPr>
      <w:r>
        <w:rPr>
          <w:bCs/>
          <w:b/>
        </w:rPr>
        <w:t xml:space="preserve">Company:</w:t>
      </w:r>
      <w:r>
        <w:t xml:space="preserve"> </w:t>
      </w:r>
      <w:r>
        <w:t xml:space="preserve">Rosenfeld Holdings Ltd.</w:t>
      </w:r>
    </w:p>
    <w:p>
      <w:pPr>
        <w:pStyle w:val="BodyText"/>
      </w:pPr>
      <w:r>
        <w:rPr>
          <w:bCs/>
          <w:b/>
        </w:rPr>
        <w:t xml:space="preserve">Address:</w:t>
      </w:r>
      <w:r>
        <w:t xml:space="preserve"> </w:t>
      </w:r>
      <w:r>
        <w:t xml:space="preserve">18 Herzl Boulevard, Jerusalem 9445000, Israel Jerusalem</w:t>
      </w:r>
    </w:p>
    <w:p>
      <w:pPr>
        <w:pStyle w:val="BodyText"/>
      </w:pPr>
      <w:r>
        <w:rPr>
          <w:bCs/>
          <w:b/>
        </w:rPr>
        <w:t xml:space="preserve">Tax ID (ID Number):</w:t>
      </w:r>
      <w:r>
        <w:t xml:space="preserve"> </w:t>
      </w:r>
      <w:r>
        <w:t xml:space="preserve">012-345-678</w:t>
      </w:r>
    </w:p>
    <w:p>
      <w:pPr>
        <w:pStyle w:val="BodyText"/>
      </w:pPr>
      <w:r>
        <w:rPr>
          <w:bCs/>
          <w:b/>
        </w:rPr>
        <w:t xml:space="preserve">Contact:</w:t>
      </w:r>
      <w:r>
        <w:t xml:space="preserve"> </w:t>
      </w:r>
      <w:r>
        <w:t xml:space="preserve">d.rosenfeld@rosenfeldholdings.co.il</w:t>
      </w:r>
    </w:p>
    <w:bookmarkEnd w:id="22"/>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Re:</w:t>
            </w:r>
            <w:r>
              <w:t xml:space="preserve"> </w:t>
            </w:r>
            <w:r>
              <w:t xml:space="preserve">Legal representation and advisory services regarding commercial lease dispute, corporate governance restructuring, and regulatory compliance review before the Jerusalem District Court.</w:t>
            </w:r>
          </w:p>
        </w:tc>
      </w:tr>
      <w:tr>
        <w:tc>
          <w:tcPr/>
          <w:p>
            <w:pPr>
              <w:pStyle w:val="Compact"/>
              <w:jc w:val="left"/>
            </w:pPr>
            <w:r>
              <w:rPr>
                <w:bCs/>
                <w:b/>
              </w:rPr>
              <w:t xml:space="preserve">Lead Lawyer:</w:t>
            </w:r>
            <w:r>
              <w:t xml:space="preserve"> </w:t>
            </w:r>
            <w:r>
              <w:t xml:space="preserve">Adv. Miriam Levy, Esq. (Bar No. 58291) |</w:t>
            </w:r>
            <w:r>
              <w:t xml:space="preserve"> </w:t>
            </w:r>
            <w:r>
              <w:rPr>
                <w:bCs/>
                <w:b/>
              </w:rPr>
              <w:t xml:space="preserve">Associate Lawyer:</w:t>
            </w:r>
            <w:r>
              <w:t xml:space="preserve"> </w:t>
            </w:r>
            <w:r>
              <w:t xml:space="preserve">Adv. Yosef Katz, Esq. (Bar No. 61442)</w:t>
            </w:r>
          </w:p>
        </w:tc>
      </w:tr>
      <w:tr>
        <w:tc>
          <w:tcPr/>
          <w:p>
            <w:pPr>
              <w:pStyle w:val="Compact"/>
              <w:jc w:val="left"/>
            </w:pPr>
            <w:r>
              <w:rPr>
                <w:bCs/>
                <w:b/>
              </w:rPr>
              <w:t xml:space="preserve">Case Reference:</w:t>
            </w:r>
            <w:r>
              <w:t xml:space="preserve"> </w:t>
            </w:r>
            <w:r>
              <w:t xml:space="preserve">File No. 5120/2025 – Rosenfeld Holdings Ltd. v. City of Jerusalem Municipal Authority</w:t>
            </w:r>
          </w:p>
        </w:tc>
      </w:tr>
    </w:tbl>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Legal Services Rendered</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(₪/hr)</w:t>
            </w:r>
          </w:p>
        </w:tc>
        <w:tc>
          <w:tcPr/>
          <w:p>
            <w:pPr>
              <w:pStyle w:val="Compact"/>
              <w:jc w:val="left"/>
            </w:pPr>
            <w:r>
              <w:t xml:space="preserve">Amount (₪)</w:t>
            </w:r>
          </w:p>
        </w:tc>
      </w:tr>
      <w:tr>
        <w:tc>
          <w:tcPr/>
          <w:p>
            <w:pPr>
              <w:pStyle w:val="Compact"/>
              <w:jc w:val="left"/>
            </w:pPr>
            <w:r>
              <w:t xml:space="preserve">1</w:t>
            </w:r>
          </w:p>
        </w:tc>
        <w:tc>
          <w:tcPr/>
          <w:p>
            <w:pPr>
              <w:pStyle w:val="Compact"/>
              <w:jc w:val="left"/>
            </w:pPr>
            <w:r>
              <w:t xml:space="preserve">Initial consultation and case assessment regarding commercial lease dispute with the City of Jerusalem Municipal Authority. Review of lease agreements, municipal bylaws, and applicable Israeli property law provisions.</w:t>
            </w:r>
          </w:p>
        </w:tc>
        <w:tc>
          <w:tcPr/>
          <w:p>
            <w:pPr>
              <w:pStyle w:val="Compact"/>
              <w:jc w:val="left"/>
            </w:pPr>
            <w:r>
              <w:t xml:space="preserve">03 May 2025</w:t>
            </w:r>
          </w:p>
        </w:tc>
        <w:tc>
          <w:tcPr/>
          <w:p>
            <w:pPr>
              <w:pStyle w:val="Compact"/>
              <w:jc w:val="left"/>
            </w:pPr>
            <w:r>
              <w:t xml:space="preserve">3.5</w:t>
            </w:r>
          </w:p>
        </w:tc>
        <w:tc>
          <w:tcPr/>
          <w:p>
            <w:pPr>
              <w:pStyle w:val="Compact"/>
              <w:jc w:val="left"/>
            </w:pPr>
            <w:r>
              <w:t xml:space="preserve">₪1,200</w:t>
            </w:r>
          </w:p>
        </w:tc>
        <w:tc>
          <w:tcPr/>
          <w:p>
            <w:pPr>
              <w:pStyle w:val="Compact"/>
              <w:jc w:val="left"/>
            </w:pPr>
            <w:r>
              <w:t xml:space="preserve">₪4,200.00</w:t>
            </w:r>
          </w:p>
        </w:tc>
      </w:tr>
      <w:tr>
        <w:tc>
          <w:tcPr/>
          <w:p>
            <w:pPr>
              <w:pStyle w:val="Compact"/>
              <w:jc w:val="left"/>
            </w:pPr>
            <w:r>
              <w:t xml:space="preserve">2</w:t>
            </w:r>
          </w:p>
        </w:tc>
        <w:tc>
          <w:tcPr/>
          <w:p>
            <w:pPr>
              <w:pStyle w:val="Compact"/>
              <w:jc w:val="left"/>
            </w:pPr>
            <w:r>
              <w:t xml:space="preserve">Preparation and filing of formal legal petition (Petition for Injunction) before the Jerusalem District Court. Drafting of comprehensive legal arguments citing Israeli Civil Law, Municipal Ordinance 5762, and relevant Supreme Court precedents.</w:t>
            </w:r>
          </w:p>
        </w:tc>
        <w:tc>
          <w:tcPr/>
          <w:p>
            <w:pPr>
              <w:pStyle w:val="Compact"/>
              <w:jc w:val="left"/>
            </w:pPr>
            <w:r>
              <w:t xml:space="preserve">05–09 May 2025</w:t>
            </w:r>
          </w:p>
        </w:tc>
        <w:tc>
          <w:tcPr/>
          <w:p>
            <w:pPr>
              <w:pStyle w:val="Compact"/>
              <w:jc w:val="left"/>
            </w:pPr>
            <w:r>
              <w:t xml:space="preserve">12.0</w:t>
            </w:r>
          </w:p>
        </w:tc>
        <w:tc>
          <w:tcPr/>
          <w:p>
            <w:pPr>
              <w:pStyle w:val="Compact"/>
              <w:jc w:val="left"/>
            </w:pPr>
            <w:r>
              <w:t xml:space="preserve">₪1,200</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Corporate governance restructuring advisory. Review and amendment of Articles of Association for Rosenfeld Holdings Ltd. in compliance with the Israeli Companies Law, 5759-1999. Preparation of board resolutions and shareholder agreements.</w:t>
            </w:r>
          </w:p>
        </w:tc>
        <w:tc>
          <w:tcPr/>
          <w:p>
            <w:pPr>
              <w:pStyle w:val="Compact"/>
              <w:jc w:val="left"/>
            </w:pPr>
            <w:r>
              <w:t xml:space="preserve">12–16 May 2025</w:t>
            </w:r>
          </w:p>
        </w:tc>
        <w:tc>
          <w:tcPr/>
          <w:p>
            <w:pPr>
              <w:pStyle w:val="Compact"/>
              <w:jc w:val="left"/>
            </w:pPr>
            <w:r>
              <w:t xml:space="preserve">8.5</w:t>
            </w:r>
          </w:p>
        </w:tc>
        <w:tc>
          <w:tcPr/>
          <w:p>
            <w:pPr>
              <w:pStyle w:val="Compact"/>
              <w:jc w:val="left"/>
            </w:pPr>
            <w:r>
              <w:t xml:space="preserve">₪1,200</w:t>
            </w:r>
          </w:p>
        </w:tc>
        <w:tc>
          <w:tcPr/>
          <w:p>
            <w:pPr>
              <w:pStyle w:val="Compact"/>
              <w:jc w:val="left"/>
            </w:pPr>
            <w:r>
              <w:t xml:space="preserve">₪10,200.00</w:t>
            </w:r>
          </w:p>
        </w:tc>
      </w:tr>
      <w:tr>
        <w:tc>
          <w:tcPr/>
          <w:p>
            <w:pPr>
              <w:pStyle w:val="Compact"/>
              <w:jc w:val="left"/>
            </w:pPr>
            <w:r>
              <w:t xml:space="preserve">4</w:t>
            </w:r>
          </w:p>
        </w:tc>
        <w:tc>
          <w:tcPr/>
          <w:p>
            <w:pPr>
              <w:pStyle w:val="Compact"/>
              <w:jc w:val="left"/>
            </w:pPr>
            <w:r>
              <w:t xml:space="preserve">Regulatory compliance review and preparation of written legal opinion regarding tax obligations under Israeli Income Tax Ordinance and municipal tax regulations applicable in Israel Jerusalem. Coordination with the Israel Tax Authority, Jerusalem Regional Office.</w:t>
            </w:r>
          </w:p>
        </w:tc>
        <w:tc>
          <w:tcPr/>
          <w:p>
            <w:pPr>
              <w:pStyle w:val="Compact"/>
              <w:jc w:val="left"/>
            </w:pPr>
            <w:r>
              <w:t xml:space="preserve">19–23 May 2025</w:t>
            </w:r>
          </w:p>
        </w:tc>
        <w:tc>
          <w:tcPr/>
          <w:p>
            <w:pPr>
              <w:pStyle w:val="Compact"/>
              <w:jc w:val="left"/>
            </w:pPr>
            <w:r>
              <w:t xml:space="preserve">10.0</w:t>
            </w:r>
          </w:p>
        </w:tc>
        <w:tc>
          <w:tcPr/>
          <w:p>
            <w:pPr>
              <w:pStyle w:val="Compact"/>
              <w:jc w:val="left"/>
            </w:pPr>
            <w:r>
              <w:t xml:space="preserve">₪1,200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Representation at preliminary hearing before the Jerusalem District Court (Hon. Justice A. Peretz). Oral argument, cross-examination of municipal witnesses, and submission of supplementary legal briefs.</w:t>
            </w:r>
          </w:p>
        </w:tc>
        <w:tc>
          <w:tcPr/>
          <w:p>
            <w:pPr>
              <w:pStyle w:val="Compact"/>
              <w:jc w:val="left"/>
            </w:pPr>
            <w:r>
              <w:t xml:space="preserve">28 May 2025</w:t>
            </w:r>
          </w:p>
        </w:tc>
        <w:tc>
          <w:tcPr/>
          <w:p>
            <w:pPr>
              <w:pStyle w:val="Compact"/>
              <w:jc w:val="left"/>
            </w:pPr>
            <w:r>
              <w:t xml:space="preserve">6.0</w:t>
            </w:r>
          </w:p>
        </w:tc>
        <w:tc>
          <w:tcPr/>
          <w:p>
            <w:pPr>
              <w:pStyle w:val="Compact"/>
              <w:jc w:val="left"/>
            </w:pPr>
            <w:r>
              <w:t xml:space="preserve">₪1,500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Post-hearing legal analysis, preparation of written submissions for the court, and client advisory memorandum summarizing next steps, risk assessment, and strategic recommendations for the ongoing litigation in Israel Jerusalem.</w:t>
            </w:r>
          </w:p>
        </w:tc>
        <w:tc>
          <w:tcPr/>
          <w:p>
            <w:pPr>
              <w:pStyle w:val="Compact"/>
              <w:jc w:val="left"/>
            </w:pPr>
            <w:r>
              <w:t xml:space="preserve">02–06 June 2025</w:t>
            </w:r>
          </w:p>
        </w:tc>
        <w:tc>
          <w:tcPr/>
          <w:p>
            <w:pPr>
              <w:pStyle w:val="Compact"/>
              <w:jc w:val="left"/>
            </w:pPr>
            <w:r>
              <w:t xml:space="preserve">7.5</w:t>
            </w:r>
          </w:p>
        </w:tc>
        <w:tc>
          <w:tcPr/>
          <w:p>
            <w:pPr>
              <w:pStyle w:val="Compact"/>
              <w:jc w:val="left"/>
            </w:pPr>
            <w:r>
              <w:t xml:space="preserve">₪1,200</w:t>
            </w:r>
          </w:p>
        </w:tc>
        <w:tc>
          <w:tcPr/>
          <w:p>
            <w:pPr>
              <w:pStyle w:val="Compact"/>
              <w:jc w:val="left"/>
            </w:pPr>
            <w:r>
              <w:t xml:space="preserve">₪9,000.00</w:t>
            </w:r>
          </w:p>
        </w:tc>
      </w:tr>
      <w:tr>
        <w:tc>
          <w:tcPr/>
          <w:p>
            <w:pPr>
              <w:pStyle w:val="Compact"/>
              <w:jc w:val="left"/>
            </w:pPr>
            <w:r>
              <w:t xml:space="preserve">7</w:t>
            </w:r>
          </w:p>
        </w:tc>
        <w:tc>
          <w:tcPr/>
          <w:p>
            <w:pPr>
              <w:pStyle w:val="Compact"/>
              <w:jc w:val="left"/>
            </w:pPr>
            <w:r>
              <w:t xml:space="preserve">Out-of-pocket expenses: Court filing fees, certified document copies, official translations (Hebrew to English), courier services, and research database access fees incurred during the billing period.</w:t>
            </w:r>
          </w:p>
        </w:tc>
        <w:tc>
          <w:tcPr/>
          <w:p>
            <w:pPr>
              <w:pStyle w:val="Compact"/>
              <w:jc w:val="left"/>
            </w:pPr>
            <w:r>
              <w:t xml:space="preserve">May–June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₪3,847.50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right"/>
            </w:pPr>
            <w:r>
              <w:t xml:space="preserve">₪58,800.00</w:t>
            </w:r>
          </w:p>
        </w:tc>
      </w:tr>
      <w:tr>
        <w:tc>
          <w:tcPr/>
          <w:p>
            <w:pPr>
              <w:pStyle w:val="Compact"/>
              <w:jc w:val="left"/>
            </w:pPr>
            <w:r>
              <w:t xml:space="preserve">Out-of-Pocket Expenses</w:t>
            </w:r>
          </w:p>
        </w:tc>
        <w:tc>
          <w:tcPr/>
          <w:p>
            <w:pPr>
              <w:pStyle w:val="Compact"/>
              <w:jc w:val="right"/>
            </w:pPr>
            <w:r>
              <w:t xml:space="preserve">₪3,847.50</w:t>
            </w:r>
          </w:p>
        </w:tc>
      </w:tr>
      <w:tr>
        <w:tc>
          <w:tcPr/>
          <w:p>
            <w:pPr>
              <w:pStyle w:val="Compact"/>
              <w:jc w:val="left"/>
            </w:pPr>
            <w:r>
              <w:rPr>
                <w:bCs/>
                <w:b/>
              </w:rPr>
              <w:t xml:space="preserve">Subtotal</w:t>
            </w:r>
          </w:p>
        </w:tc>
        <w:tc>
          <w:tcPr/>
          <w:p>
            <w:pPr>
              <w:pStyle w:val="Compact"/>
              <w:jc w:val="right"/>
            </w:pPr>
            <w:r>
              <w:rPr>
                <w:bCs/>
                <w:b/>
              </w:rPr>
              <w:t xml:space="preserve">₪62,647.50</w:t>
            </w:r>
          </w:p>
        </w:tc>
      </w:tr>
      <w:tr>
        <w:tc>
          <w:tcPr/>
          <w:p>
            <w:pPr>
              <w:pStyle w:val="Compact"/>
              <w:jc w:val="left"/>
            </w:pPr>
            <w:r>
              <w:t xml:space="preserve">VAT (18% – Israel Value Added Tax)</w:t>
            </w:r>
          </w:p>
        </w:tc>
        <w:tc>
          <w:tcPr/>
          <w:p>
            <w:pPr>
              <w:pStyle w:val="Compact"/>
              <w:jc w:val="right"/>
            </w:pPr>
            <w:r>
              <w:t xml:space="preserve">₪11,276.55</w:t>
            </w:r>
          </w:p>
        </w:tc>
      </w:tr>
      <w:tr>
        <w:tc>
          <w:tcPr/>
          <w:p>
            <w:pPr>
              <w:pStyle w:val="Compact"/>
              <w:jc w:val="left"/>
            </w:pPr>
            <w:r>
              <w:t xml:space="preserve">TOTAL AMOUNT DUE</w:t>
            </w:r>
          </w:p>
        </w:tc>
        <w:tc>
          <w:tcPr/>
          <w:p>
            <w:pPr>
              <w:pStyle w:val="Compact"/>
              <w:jc w:val="right"/>
            </w:pPr>
            <w:r>
              <w:t xml:space="preserve">₪73,924.05</w:t>
            </w:r>
          </w:p>
        </w:tc>
      </w:tr>
    </w:tbl>
    <w:bookmarkStart w:id="23" w:name="payment-terms-and-conditions"/>
    <w:p>
      <w:pPr>
        <w:pStyle w:val="Heading3"/>
      </w:pPr>
      <w:r>
        <w:t xml:space="preserve">Payment Terms and Conditions</w:t>
      </w:r>
    </w:p>
    <w:p>
      <w:pPr>
        <w:numPr>
          <w:ilvl w:val="0"/>
          <w:numId w:val="1001"/>
        </w:numPr>
        <w:pStyle w:val="Compact"/>
      </w:pPr>
      <w:r>
        <w:t xml:space="preserve">This Invoice is issued by Levy &amp; Associates Law Firm, a duly registered legal practice operating in Israel Jerusalem, and constitutes a formal demand for payment for professional legal services rendered by the undersigned Lawyer and associated legal staff during the billing period of 03 May 2025 through 06 June 2025.</w:t>
      </w:r>
    </w:p>
    <w:p>
      <w:pPr>
        <w:numPr>
          <w:ilvl w:val="0"/>
          <w:numId w:val="1001"/>
        </w:numPr>
        <w:pStyle w:val="Compact"/>
      </w:pPr>
      <w:r>
        <w:t xml:space="preserve">Payment of the full amount stated on this Invoice shall be due within thirty (30) calendar days from the date of issue, no later than 14 July 2025. Payment may be made via bank transfer to the firm's designated account at Bank Hapoalim, Jerusalem Branch (IBAN: IL16 0100 0000 0000 0000 000), or by certified check payable to "Levy &amp; Associates Law Firm."</w:t>
      </w:r>
    </w:p>
    <w:p>
      <w:pPr>
        <w:numPr>
          <w:ilvl w:val="0"/>
          <w:numId w:val="1001"/>
        </w:numPr>
        <w:pStyle w:val="Compact"/>
      </w:pPr>
      <w:r>
        <w:t xml:space="preserve">In the event of late payment, interest shall accrue at the rate of 1.5% per month (18% per annum) in accordance with the Israeli Interest Law, 5731-1971, calculated from the due date until the date of full settlement. Additionally, a late payment penalty of ₪500 shall be applied to this Invoice.</w:t>
      </w:r>
    </w:p>
    <w:p>
      <w:pPr>
        <w:numPr>
          <w:ilvl w:val="0"/>
          <w:numId w:val="1001"/>
        </w:numPr>
        <w:pStyle w:val="Compact"/>
      </w:pPr>
      <w:r>
        <w:t xml:space="preserve">All fees charged by the Lawyer are exclusive of VAT, which is applied at the current Israeli statutory rate of 18%. Should the client be a VAT-registered entity, a VAT receipt shall be issued upon request in compliance with the Israeli VAT Law, 5736-1975.</w:t>
      </w:r>
    </w:p>
    <w:p>
      <w:pPr>
        <w:numPr>
          <w:ilvl w:val="0"/>
          <w:numId w:val="1001"/>
        </w:numPr>
        <w:pStyle w:val="Compact"/>
      </w:pPr>
      <w:r>
        <w:t xml:space="preserve">The client acknowledges that this Invoice reflects the agreed-upon hourly rates as stipulated in the Retainer Agreement dated 28 April 2025. Any services rendered beyond the scope of the original engagement shall be billed separately and require prior written authorization from the client.</w:t>
      </w:r>
    </w:p>
    <w:p>
      <w:pPr>
        <w:numPr>
          <w:ilvl w:val="0"/>
          <w:numId w:val="1001"/>
        </w:numPr>
        <w:pStyle w:val="Compact"/>
      </w:pPr>
      <w:r>
        <w:t xml:space="preserve">Disputes regarding the amounts stated on this Invoice must be raised in writing within fourteen (14) days of receipt. Failure to raise a dispute within this period shall constitute acceptance of the Invoice in its entirety.</w:t>
      </w:r>
    </w:p>
    <w:p>
      <w:pPr>
        <w:numPr>
          <w:ilvl w:val="0"/>
          <w:numId w:val="1001"/>
        </w:numPr>
        <w:pStyle w:val="Compact"/>
      </w:pPr>
      <w:r>
        <w:t xml:space="preserve">This Invoice and all associated legal services are governed by the laws of the State of Israel. Any legal dispute arising from this Invoice shall be subject to the exclusive jurisdiction of the courts of Israel Jerusalem.</w:t>
      </w:r>
    </w:p>
    <w:p>
      <w:pPr>
        <w:numPr>
          <w:ilvl w:val="0"/>
          <w:numId w:val="1001"/>
        </w:numPr>
        <w:pStyle w:val="Compact"/>
      </w:pPr>
      <w:r>
        <w:t xml:space="preserve">The Lawyer reserves the right to suspend ongoing legal representation and court appearances in the event of non-payment of this Invoice beyond the due date, in accordance with the Israeli Lawyers' Code of Ethics and the terms of the Retainer Agreement.</w:t>
      </w:r>
    </w:p>
    <w:p>
      <w:pPr>
        <w:numPr>
          <w:ilvl w:val="0"/>
          <w:numId w:val="1001"/>
        </w:numPr>
        <w:pStyle w:val="Compact"/>
      </w:pPr>
      <w:r>
        <w:t xml:space="preserve">All confidential information contained in this Invoice and the underlying legal matters shall be treated in strict accordance with the Israeli Privacy Protection Law, 5741-1981, and the professional confidentiality obligations binding upon every Lawyer registered with the Israel Bar Association.</w:t>
      </w:r>
    </w:p>
    <w:bookmarkEnd w:id="23"/>
    <w:p>
      <w:pPr>
        <w:pStyle w:val="FirstParagraph"/>
      </w:pPr>
      <w:r>
        <w:t xml:space="preserve">Issued and certified by:</w:t>
      </w:r>
    </w:p>
    <w:p>
      <w:pPr>
        <w:pStyle w:val="BodyText"/>
      </w:pPr>
      <w:r>
        <w:rPr>
          <w:bCs/>
          <w:b/>
        </w:rPr>
        <w:t xml:space="preserve">Adv. Miriam Levy, Esq.</w:t>
      </w:r>
      <w:r>
        <w:br/>
      </w:r>
      <w:r>
        <w:t xml:space="preserve">Lead Lawyer, Levy &amp; Associates Law Firm</w:t>
      </w:r>
      <w:r>
        <w:br/>
      </w:r>
      <w:r>
        <w:t xml:space="preserve">Israel Bar Association – Jerusalem District</w:t>
      </w:r>
      <w:r>
        <w:br/>
      </w:r>
      <w:r>
        <w:t xml:space="preserve">Bar Registration No. 58291</w:t>
      </w:r>
    </w:p>
    <w:p>
      <w:pPr>
        <w:pStyle w:val="BodyText"/>
      </w:pPr>
      <w:r>
        <w:t xml:space="preserve">Acknowledged and accepted by (Client):</w:t>
      </w:r>
    </w:p>
    <w:p>
      <w:pPr>
        <w:pStyle w:val="BodyText"/>
      </w:pPr>
      <w:r>
        <w:rPr>
          <w:bCs/>
          <w:b/>
        </w:rPr>
        <w:t xml:space="preserve">Mr. David Rosenfeld</w:t>
      </w:r>
      <w:r>
        <w:br/>
      </w:r>
      <w:r>
        <w:t xml:space="preserve">Authorized Signatory, Rosenfeld Holdings Ltd.</w:t>
      </w:r>
      <w:r>
        <w:br/>
      </w:r>
      <w:r>
        <w:t xml:space="preserve">Date: _______________</w:t>
      </w:r>
    </w:p>
    <w:p>
      <w:pPr>
        <w:pStyle w:val="BodyText"/>
      </w:pPr>
      <w:r>
        <w:rPr>
          <w:bCs/>
          <w:b/>
        </w:rPr>
        <w:t xml:space="preserve">Levy &amp; Associates Law Firm</w:t>
      </w:r>
      <w:r>
        <w:t xml:space="preserve"> </w:t>
      </w:r>
      <w:r>
        <w:t xml:space="preserve">| 42 King George Street, Jerusalem 9100000, Israel Jerusalem</w:t>
      </w:r>
      <w:r>
        <w:br/>
      </w:r>
      <w:r>
        <w:t xml:space="preserve">This Invoice is a legally binding document issued under the authority of the Israel Bar Association and the Israeli Companies Law.</w:t>
      </w:r>
      <w:r>
        <w:br/>
      </w:r>
      <w:r>
        <w:t xml:space="preserve">For inquiries regarding this Invoice, please contact the firm's billing department at billing@levyassociates-il.com or call +972-2-625-4410, Monday through Friday, 08:00–17:00 (Jerusalem time).</w:t>
      </w:r>
      <w:r>
        <w:br/>
      </w:r>
      <w:r>
        <w:t xml:space="preserve">INVOICE IL-JER-2025-04872</w:t>
      </w:r>
      <w:r>
        <w:t xml:space="preserve"> </w:t>
      </w:r>
      <w:r>
        <w:t xml:space="preserve"> </w:t>
      </w:r>
      <w:r>
        <w:t xml:space="preserve"> </w:t>
      </w:r>
      <w:r>
        <w:t xml:space="preserve">LAWYER: ADV. M. LEVY</w:t>
      </w:r>
      <w:r>
        <w:t xml:space="preserve"> </w:t>
      </w:r>
      <w:r>
        <w:t xml:space="preserve"> </w:t>
      </w:r>
      <w:r>
        <w:t xml:space="preserve"> </w:t>
      </w:r>
      <w:r>
        <w:t xml:space="preserve">JURISDICTION: ISRAEL JERUSALEM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Law Firm Israel Jerusalem</dc:title>
  <dc:creator/>
  <dc:language>en</dc:language>
  <cp:keywords/>
  <dcterms:created xsi:type="dcterms:W3CDTF">2026-10-10T06:50:56Z</dcterms:created>
  <dcterms:modified xsi:type="dcterms:W3CDTF">2026-10-10T06:50:56Z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