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Nairobi,</w:t>
      </w:r>
      <w:r>
        <w:t xml:space="preserve"> </w:t>
      </w:r>
      <w:r>
        <w:t xml:space="preserve">Kenya</w:t>
      </w:r>
    </w:p>
    <w:bookmarkStart w:id="20" w:name="invoice"/>
    <w:p>
      <w:pPr>
        <w:pStyle w:val="Heading1"/>
      </w:pPr>
      <w:r>
        <w:t xml:space="preserve">INVOICE</w:t>
      </w:r>
    </w:p>
    <w:p>
      <w:pPr>
        <w:pStyle w:val="FirstParagraph"/>
      </w:pPr>
      <w:r>
        <w:t xml:space="preserve">Professional Legal Services — Attorney at Law, Kenya Nairobi</w:t>
      </w:r>
    </w:p>
    <w:p>
      <w:pPr>
        <w:pStyle w:val="BodyText"/>
      </w:pPr>
      <w:r>
        <w:t xml:space="preserve">Official Legal Invoice</w:t>
      </w:r>
    </w:p>
    <w:bookmarkEnd w:id="20"/>
    <w:bookmarkStart w:id="21" w:name="law-firm-details"/>
    <w:p>
      <w:pPr>
        <w:pStyle w:val="Heading3"/>
      </w:pPr>
      <w:r>
        <w:t xml:space="preserve">Law Firm Details</w:t>
      </w:r>
    </w:p>
    <w:p>
      <w:pPr>
        <w:pStyle w:val="FirstParagraph"/>
      </w:pPr>
      <w:r>
        <w:rPr>
          <w:bCs/>
          <w:b/>
        </w:rPr>
        <w:t xml:space="preserve">Mwangi &amp; Associates Advocates</w:t>
      </w:r>
    </w:p>
    <w:p>
      <w:pPr>
        <w:pStyle w:val="BodyText"/>
      </w:pPr>
      <w:r>
        <w:t xml:space="preserve">Suite 12, The Nairobi Law Chambers</w:t>
      </w:r>
    </w:p>
    <w:p>
      <w:pPr>
        <w:pStyle w:val="BodyText"/>
      </w:pPr>
      <w:r>
        <w:t xml:space="preserve">Waiyaki Way, Westlands</w:t>
      </w:r>
    </w:p>
    <w:p>
      <w:pPr>
        <w:pStyle w:val="BodyText"/>
      </w:pPr>
      <w:r>
        <w:t xml:space="preserve">Nairobi, Kenya</w:t>
      </w:r>
    </w:p>
    <w:p>
      <w:pPr>
        <w:pStyle w:val="BodyText"/>
      </w:pPr>
      <w:r>
        <w:t xml:space="preserve">Tel: +254 700 123 456</w:t>
      </w:r>
    </w:p>
    <w:p>
      <w:pPr>
        <w:pStyle w:val="BodyText"/>
      </w:pPr>
      <w:r>
        <w:t xml:space="preserve">Email: billing@mwangiadvocates.co.ke</w:t>
      </w:r>
    </w:p>
    <w:p>
      <w:pPr>
        <w:pStyle w:val="BodyText"/>
      </w:pPr>
      <w:r>
        <w:t xml:space="preserve">Adv. Reg. No: KBA/2019/04521</w:t>
      </w:r>
    </w:p>
    <w:bookmarkEnd w:id="21"/>
    <w:bookmarkStart w:id="22" w:name="client-details"/>
    <w:p>
      <w:pPr>
        <w:pStyle w:val="Heading3"/>
      </w:pPr>
      <w:r>
        <w:t xml:space="preserve">Client Details</w:t>
      </w:r>
    </w:p>
    <w:p>
      <w:pPr>
        <w:pStyle w:val="FirstParagraph"/>
      </w:pPr>
      <w:r>
        <w:rPr>
          <w:bCs/>
          <w:b/>
        </w:rPr>
        <w:t xml:space="preserve">Mr. James Otieno Kariuki</w:t>
      </w:r>
    </w:p>
    <w:p>
      <w:pPr>
        <w:pStyle w:val="BodyText"/>
      </w:pPr>
      <w:r>
        <w:t xml:space="preserve">Otieno &amp; Partners Trading Ltd.</w:t>
      </w:r>
    </w:p>
    <w:p>
      <w:pPr>
        <w:pStyle w:val="BodyText"/>
      </w:pPr>
      <w:r>
        <w:t xml:space="preserve">P.O. Box 4521, GPO</w:t>
      </w:r>
    </w:p>
    <w:p>
      <w:pPr>
        <w:pStyle w:val="BodyText"/>
      </w:pPr>
      <w:r>
        <w:t xml:space="preserve">Nairobi, Kenya</w:t>
      </w:r>
    </w:p>
    <w:p>
      <w:pPr>
        <w:pStyle w:val="BodyText"/>
      </w:pPr>
      <w:r>
        <w:t xml:space="preserve">Tel: +254 722 987 654</w:t>
      </w:r>
    </w:p>
    <w:p>
      <w:pPr>
        <w:pStyle w:val="BodyText"/>
      </w:pPr>
      <w:r>
        <w:t xml:space="preserve">Email: j.kariuki@otienopartners.co.ke</w:t>
      </w:r>
    </w:p>
    <w:p>
      <w:pPr>
        <w:pStyle w:val="BodyText"/>
      </w:pPr>
      <w:r>
        <w:t xml:space="preserve">KRA PIN: P051234567X</w:t>
      </w:r>
    </w:p>
    <w:bookmarkEnd w:id="22"/>
    <w:p>
      <w:pPr>
        <w:pStyle w:val="BodyText"/>
      </w:pPr>
      <w:r>
        <w:rPr>
          <w:bCs/>
          <w:b/>
        </w:rPr>
        <w:t xml:space="preserve">Invoice Number:</w:t>
      </w:r>
      <w:r>
        <w:t xml:space="preserve"> </w:t>
      </w:r>
      <w:r>
        <w:t xml:space="preserve">MWA/INV/2025/00847</w:t>
      </w:r>
    </w:p>
    <w:p>
      <w:pPr>
        <w:pStyle w:val="BodyText"/>
      </w:pPr>
      <w:r>
        <w:rPr>
          <w:bCs/>
          <w:b/>
        </w:rPr>
        <w:t xml:space="preserve">Invoice Date:</w:t>
      </w:r>
      <w:r>
        <w:t xml:space="preserve"> </w:t>
      </w:r>
      <w:r>
        <w:t xml:space="preserve">14th June 2025</w:t>
      </w:r>
    </w:p>
    <w:p>
      <w:pPr>
        <w:pStyle w:val="BodyText"/>
      </w:pPr>
      <w:r>
        <w:rPr>
          <w:bCs/>
          <w:b/>
        </w:rPr>
        <w:t xml:space="preserve">Due Date:</w:t>
      </w:r>
      <w:r>
        <w:t xml:space="preserve"> </w:t>
      </w:r>
      <w:r>
        <w:t xml:space="preserve">28th June 2025</w:t>
      </w:r>
    </w:p>
    <w:p>
      <w:pPr>
        <w:pStyle w:val="BodyText"/>
      </w:pPr>
      <w:r>
        <w:rPr>
          <w:bCs/>
          <w:b/>
        </w:rPr>
        <w:t xml:space="preserve">Reference No:</w:t>
      </w:r>
      <w:r>
        <w:t xml:space="preserve"> </w:t>
      </w:r>
      <w:r>
        <w:t xml:space="preserve">MWA/CASE/2025/0312</w:t>
      </w:r>
    </w:p>
    <w:p>
      <w:pPr>
        <w:pStyle w:val="BodyText"/>
      </w:pPr>
      <w:r>
        <w:rPr>
          <w:bCs/>
          <w:b/>
        </w:rPr>
        <w:t xml:space="preserve">Matter:</w:t>
      </w:r>
      <w:r>
        <w:t xml:space="preserve"> </w:t>
      </w:r>
      <w:r>
        <w:t xml:space="preserve">Commercial Contract Dispute</w:t>
      </w:r>
    </w:p>
    <w:p>
      <w:pPr>
        <w:pStyle w:val="BodyText"/>
      </w:pPr>
      <w:r>
        <w:rPr>
          <w:bCs/>
          <w:b/>
        </w:rPr>
        <w:t xml:space="preserve">Lead Lawyer:</w:t>
      </w:r>
      <w:r>
        <w:t xml:space="preserve"> </w:t>
      </w:r>
      <w:r>
        <w:t xml:space="preserve">Adv. Grace Mwangi, LL.B (Nairobi)</w:t>
      </w:r>
    </w:p>
    <w:bookmarkStart w:id="25"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Initial consultation and case assessment regarding the commercial contract dispute between Otieno &amp; Partners Trading Ltd. and its supplier. The Lawyer reviewed all preliminary documents and provided a written legal opinion on the merits of the claim.</w:t>
            </w:r>
          </w:p>
        </w:tc>
        <w:tc>
          <w:tcPr/>
          <w:p>
            <w:pPr>
              <w:pStyle w:val="Compact"/>
              <w:jc w:val="left"/>
            </w:pPr>
            <w:r>
              <w:t xml:space="preserve">03 May 2025</w:t>
            </w:r>
          </w:p>
        </w:tc>
        <w:tc>
          <w:tcPr/>
          <w:p>
            <w:pPr>
              <w:pStyle w:val="Compact"/>
              <w:jc w:val="left"/>
            </w:pPr>
            <w:r>
              <w:t xml:space="preserve">3.5 hours</w:t>
            </w:r>
          </w:p>
        </w:tc>
        <w:tc>
          <w:tcPr/>
          <w:p>
            <w:pPr>
              <w:pStyle w:val="Compact"/>
              <w:jc w:val="left"/>
            </w:pPr>
            <w:r>
              <w:t xml:space="preserve">12,000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Drafting and filing of a formal Letter of Demand to the opposing party, outlining the breach of contract terms, quantifying damages of KES 4,500,000, and setting a 14-day compliance deadline. The Lawyer also prepared the supporting annexures and evidence schedule.</w:t>
            </w:r>
          </w:p>
        </w:tc>
        <w:tc>
          <w:tcPr/>
          <w:p>
            <w:pPr>
              <w:pStyle w:val="Compact"/>
              <w:jc w:val="left"/>
            </w:pPr>
            <w:r>
              <w:t xml:space="preserve">08 May 2025</w:t>
            </w:r>
          </w:p>
        </w:tc>
        <w:tc>
          <w:tcPr/>
          <w:p>
            <w:pPr>
              <w:pStyle w:val="Compact"/>
              <w:jc w:val="left"/>
            </w:pPr>
            <w:r>
              <w:t xml:space="preserve">5.0 hours</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Preparation and filing of the Statement of Claim and supporting pleadings at the Nairobi Commercial Court, High Court of Kenya. This included the drafting of the Notice of Motion, the Affidavit in Support, and the application for an interim injunction to preserve assets pending the outcome of the dispute.</w:t>
            </w:r>
          </w:p>
        </w:tc>
        <w:tc>
          <w:tcPr/>
          <w:p>
            <w:pPr>
              <w:pStyle w:val="Compact"/>
              <w:jc w:val="left"/>
            </w:pPr>
            <w:r>
              <w:t xml:space="preserve">15 May 2025</w:t>
            </w:r>
          </w:p>
        </w:tc>
        <w:tc>
          <w:tcPr/>
          <w:p>
            <w:pPr>
              <w:pStyle w:val="Compact"/>
              <w:jc w:val="left"/>
            </w:pPr>
            <w:r>
              <w:t xml:space="preserve">8.0 hours</w:t>
            </w:r>
          </w:p>
        </w:tc>
        <w:tc>
          <w:tcPr/>
          <w:p>
            <w:pPr>
              <w:pStyle w:val="Compact"/>
              <w:jc w:val="left"/>
            </w:pPr>
            <w:r>
              <w:t xml:space="preserve">12,000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Attendance at the Case Management Conference held at the Nairobi Commercial Court on 22 May 2025. The Lawyer represented the client, presented the interim injunction application, cross-examined the opposing counsel's preliminary submissions, and negotiated the discovery schedule with the court.</w:t>
            </w:r>
          </w:p>
        </w:tc>
        <w:tc>
          <w:tcPr/>
          <w:p>
            <w:pPr>
              <w:pStyle w:val="Compact"/>
              <w:jc w:val="left"/>
            </w:pPr>
            <w:r>
              <w:t xml:space="preserve">22 May 2025</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Review and analysis of 340 pages of documentary evidence provided by the opposing party during the discovery phase. The Lawyer prepared a detailed evidentiary index, identified inconsistencies in the opposing party's financial records, and drafted a memorandum of law for the client's internal review.</w:t>
            </w:r>
          </w:p>
        </w:tc>
        <w:tc>
          <w:tcPr/>
          <w:p>
            <w:pPr>
              <w:pStyle w:val="Compact"/>
              <w:jc w:val="left"/>
            </w:pPr>
            <w:r>
              <w:t xml:space="preserve">29 May 2025</w:t>
            </w:r>
          </w:p>
        </w:tc>
        <w:tc>
          <w:tcPr/>
          <w:p>
            <w:pPr>
              <w:pStyle w:val="Compact"/>
              <w:jc w:val="left"/>
            </w:pPr>
            <w:r>
              <w:t xml:space="preserve">10.0 hours</w:t>
            </w:r>
          </w:p>
        </w:tc>
        <w:tc>
          <w:tcPr/>
          <w:p>
            <w:pPr>
              <w:pStyle w:val="Compact"/>
              <w:jc w:val="left"/>
            </w:pPr>
            <w:r>
              <w:t xml:space="preserve">12,000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Drafting of the Defence to the Counter-Claim filed by the opposing party. The Lawyer prepared comprehensive legal arguments citing relevant Kenyan commercial law precedents, the Contracts Act (Cap 23), and the Law of Contract Act, and filed the same with the Nairobi Commercial Court registry.</w:t>
            </w:r>
          </w:p>
        </w:tc>
        <w:tc>
          <w:tcPr/>
          <w:p>
            <w:pPr>
              <w:pStyle w:val="Compact"/>
              <w:jc w:val="left"/>
            </w:pPr>
            <w:r>
              <w:t xml:space="preserve">05 June 2025</w:t>
            </w:r>
          </w:p>
        </w:tc>
        <w:tc>
          <w:tcPr/>
          <w:p>
            <w:pPr>
              <w:pStyle w:val="Compact"/>
              <w:jc w:val="left"/>
            </w:pPr>
            <w:r>
              <w:t xml:space="preserve">7.5 hours</w:t>
            </w:r>
          </w:p>
        </w:tc>
        <w:tc>
          <w:tcPr/>
          <w:p>
            <w:pPr>
              <w:pStyle w:val="Compact"/>
              <w:jc w:val="left"/>
            </w:pPr>
            <w:r>
              <w:t xml:space="preserve">12,000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Client advisory meeting held at the firm's Nairobi office to discuss the progress of the litigation, the court's ruling on the interim injunction, and the strategic direction for the upcoming trial. The Lawyer provided a written progress report and updated risk assessment.</w:t>
            </w:r>
          </w:p>
        </w:tc>
        <w:tc>
          <w:tcPr/>
          <w:p>
            <w:pPr>
              <w:pStyle w:val="Compact"/>
              <w:jc w:val="left"/>
            </w:pPr>
            <w:r>
              <w:t xml:space="preserve">10 June 2025</w:t>
            </w:r>
          </w:p>
        </w:tc>
        <w:tc>
          <w:tcPr/>
          <w:p>
            <w:pPr>
              <w:pStyle w:val="Compact"/>
              <w:jc w:val="left"/>
            </w:pPr>
            <w:r>
              <w:t xml:space="preserve">2.0 hours</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Out-of-pocket expenses: Court filing fees, stamp duty on the Statement of Claim, service of process fees, photocopying and printing of 1,200 pages of court documents, and courier charges for document delivery to the opposing party's advocates in Mombasa.</w:t>
            </w:r>
          </w:p>
        </w:tc>
        <w:tc>
          <w:tcPr/>
          <w:p>
            <w:pPr>
              <w:pStyle w:val="Compact"/>
              <w:jc w:val="left"/>
            </w:pPr>
            <w:r>
              <w:t xml:space="preserve">Various</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18,500.00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right"/>
            </w:pPr>
            <w:r>
              <w:t xml:space="preserve">Amount (KES)</w:t>
            </w:r>
          </w:p>
        </w:tc>
      </w:tr>
      <w:tr>
        <w:tc>
          <w:tcPr/>
          <w:p>
            <w:pPr>
              <w:pStyle w:val="Compact"/>
              <w:jc w:val="left"/>
            </w:pPr>
            <w:r>
              <w:t xml:space="preserve">Professional Legal Fees (Subtotal)</w:t>
            </w:r>
          </w:p>
        </w:tc>
        <w:tc>
          <w:tcPr/>
          <w:p>
            <w:pPr>
              <w:pStyle w:val="Compact"/>
              <w:jc w:val="right"/>
            </w:pPr>
            <w:r>
              <w:t xml:space="preserve">492,000.00</w:t>
            </w:r>
          </w:p>
        </w:tc>
      </w:tr>
      <w:tr>
        <w:tc>
          <w:tcPr/>
          <w:p>
            <w:pPr>
              <w:pStyle w:val="Compact"/>
              <w:jc w:val="left"/>
            </w:pPr>
            <w:r>
              <w:t xml:space="preserve">Out-of-Pocket Expenses</w:t>
            </w:r>
          </w:p>
        </w:tc>
        <w:tc>
          <w:tcPr/>
          <w:p>
            <w:pPr>
              <w:pStyle w:val="Compact"/>
              <w:jc w:val="right"/>
            </w:pPr>
            <w:r>
              <w:t xml:space="preserve">18,500.00</w:t>
            </w:r>
          </w:p>
        </w:tc>
      </w:tr>
      <w:tr>
        <w:tc>
          <w:tcPr/>
          <w:p>
            <w:pPr>
              <w:pStyle w:val="Compact"/>
              <w:jc w:val="left"/>
            </w:pPr>
            <w:r>
              <w:t xml:space="preserve">Subtotal</w:t>
            </w:r>
          </w:p>
        </w:tc>
        <w:tc>
          <w:tcPr/>
          <w:p>
            <w:pPr>
              <w:pStyle w:val="Compact"/>
              <w:jc w:val="right"/>
            </w:pPr>
            <w:r>
              <w:t xml:space="preserve">510,500.00</w:t>
            </w:r>
          </w:p>
        </w:tc>
      </w:tr>
      <w:tr>
        <w:tc>
          <w:tcPr/>
          <w:p>
            <w:pPr>
              <w:pStyle w:val="Compact"/>
              <w:jc w:val="left"/>
            </w:pPr>
            <w:r>
              <w:t xml:space="preserve">VAT @ 16% (Kenya Revenue Authority)</w:t>
            </w:r>
          </w:p>
        </w:tc>
        <w:tc>
          <w:tcPr/>
          <w:p>
            <w:pPr>
              <w:pStyle w:val="Compact"/>
              <w:jc w:val="right"/>
            </w:pPr>
            <w:r>
              <w:t xml:space="preserve">81,680.00</w:t>
            </w:r>
          </w:p>
        </w:tc>
      </w:tr>
      <w:tr>
        <w:tc>
          <w:tcPr/>
          <w:p>
            <w:pPr>
              <w:pStyle w:val="Compact"/>
              <w:jc w:val="left"/>
            </w:pPr>
            <w:r>
              <w:t xml:space="preserve">GRAND TOTAL DUE</w:t>
            </w:r>
          </w:p>
        </w:tc>
        <w:tc>
          <w:tcPr/>
          <w:p>
            <w:pPr>
              <w:pStyle w:val="Compact"/>
              <w:jc w:val="right"/>
            </w:pPr>
            <w:r>
              <w:t xml:space="preserve">592,180.00</w:t>
            </w:r>
          </w:p>
        </w:tc>
      </w:tr>
    </w:tbl>
    <w:bookmarkStart w:id="23" w:name="payment-terms-instructions"/>
    <w:p>
      <w:pPr>
        <w:pStyle w:val="Heading3"/>
      </w:pPr>
      <w:r>
        <w:t xml:space="preserve">Payment Terms &amp; Instructions</w:t>
      </w:r>
    </w:p>
    <w:p>
      <w:pPr>
        <w:numPr>
          <w:ilvl w:val="0"/>
          <w:numId w:val="1001"/>
        </w:numPr>
        <w:pStyle w:val="Compact"/>
      </w:pPr>
      <w:r>
        <w:rPr>
          <w:bCs/>
          <w:b/>
        </w:rPr>
        <w:t xml:space="preserve">Payment Due Date:</w:t>
      </w:r>
      <w:r>
        <w:t xml:space="preserve"> </w:t>
      </w:r>
      <w:r>
        <w:t xml:space="preserve">This Invoice must be settled in full within fourteen (14) calendar days from the date of issue, i.e., on or before 28th June 2025.</w:t>
      </w:r>
    </w:p>
    <w:p>
      <w:pPr>
        <w:numPr>
          <w:ilvl w:val="0"/>
          <w:numId w:val="1001"/>
        </w:numPr>
        <w:pStyle w:val="Compact"/>
      </w:pPr>
      <w:r>
        <w:rPr>
          <w:bCs/>
          <w:b/>
        </w:rPr>
        <w:t xml:space="preserve">Payment Method:</w:t>
      </w:r>
      <w:r>
        <w:t xml:space="preserve"> </w:t>
      </w:r>
      <w:r>
        <w:t xml:space="preserve">Payment shall be made via bank transfer to the firm's designated account. Cheques are not accepted for this Invoice.</w:t>
      </w:r>
    </w:p>
    <w:p>
      <w:pPr>
        <w:numPr>
          <w:ilvl w:val="0"/>
          <w:numId w:val="1001"/>
        </w:numPr>
        <w:pStyle w:val="Compact"/>
      </w:pPr>
      <w:r>
        <w:rPr>
          <w:bCs/>
          <w:b/>
        </w:rPr>
        <w:t xml:space="preserve">Bank Details:</w:t>
      </w:r>
      <w:r>
        <w:t xml:space="preserve"> </w:t>
      </w:r>
      <w:r>
        <w:t xml:space="preserve">Bank: Equity Bank, Kenya — Account Name: Mwangi &amp; Associates Advocates — Account Number: 0123456789 — Branch: Westlands, Nairobi — SWIFT: EQBLKEKE.</w:t>
      </w:r>
    </w:p>
    <w:p>
      <w:pPr>
        <w:numPr>
          <w:ilvl w:val="0"/>
          <w:numId w:val="1001"/>
        </w:numPr>
        <w:pStyle w:val="Compact"/>
      </w:pPr>
      <w:r>
        <w:rPr>
          <w:bCs/>
          <w:b/>
        </w:rPr>
        <w:t xml:space="preserve">Reference:</w:t>
      </w:r>
      <w:r>
        <w:t xml:space="preserve"> </w:t>
      </w:r>
      <w:r>
        <w:t xml:space="preserve">Kindly quote the Invoice Number</w:t>
      </w:r>
      <w:r>
        <w:t xml:space="preserve"> </w:t>
      </w:r>
      <w:r>
        <w:rPr>
          <w:bCs/>
          <w:b/>
        </w:rPr>
        <w:t xml:space="preserve">MWA/INV/2025/00847</w:t>
      </w:r>
      <w:r>
        <w:t xml:space="preserve"> </w:t>
      </w:r>
      <w:r>
        <w:t xml:space="preserve">as the payment reference to ensure proper reconciliation of your account.</w:t>
      </w:r>
    </w:p>
    <w:p>
      <w:pPr>
        <w:numPr>
          <w:ilvl w:val="0"/>
          <w:numId w:val="1001"/>
        </w:numPr>
        <w:pStyle w:val="Compact"/>
      </w:pPr>
      <w:r>
        <w:rPr>
          <w:bCs/>
          <w:b/>
        </w:rPr>
        <w:t xml:space="preserve">Late Payment:</w:t>
      </w:r>
      <w:r>
        <w:t xml:space="preserve"> </w:t>
      </w:r>
      <w:r>
        <w:t xml:space="preserve">In the event of non-payment by the due date, interest shall accrue at the rate of 2% per month on the outstanding balance, in accordance with the retainer agreement signed on 01 May 2025. The Lawyer reserves the right to suspend all further legal proceedings until the Invoice is settled in full.</w:t>
      </w:r>
    </w:p>
    <w:p>
      <w:pPr>
        <w:numPr>
          <w:ilvl w:val="0"/>
          <w:numId w:val="1001"/>
        </w:numPr>
        <w:pStyle w:val="Compact"/>
      </w:pPr>
      <w:r>
        <w:rPr>
          <w:bCs/>
          <w:b/>
        </w:rPr>
        <w:t xml:space="preserve">Tax Compliance:</w:t>
      </w:r>
      <w:r>
        <w:t xml:space="preserve"> </w:t>
      </w:r>
      <w:r>
        <w:t xml:space="preserve">This Invoice has been issued in compliance with the Kenya Revenue Authority (KRA) eTIMS regulations. A digital receipt will be generated upon confirmation of payment.</w:t>
      </w:r>
    </w:p>
    <w:bookmarkEnd w:id="23"/>
    <w:bookmarkStart w:id="24" w:name="notes-disclaimers"/>
    <w:p>
      <w:pPr>
        <w:pStyle w:val="Heading3"/>
      </w:pPr>
      <w:r>
        <w:t xml:space="preserve">Notes &amp; Disclaimers</w:t>
      </w:r>
    </w:p>
    <w:p>
      <w:pPr>
        <w:pStyle w:val="FirstParagraph"/>
      </w:pPr>
      <w:r>
        <w:t xml:space="preserve">This Invoice constitutes a formal billing document issued by Mwangi &amp; Associates Advocates, a registered law firm practising in Kenya Nairobi. All legal services described herein were rendered by qualified and licensed Lawyers under the supervision of the Lead Lawyer, Adv. Grace Mwangi, in strict adherence to the Advocates Act (Cap 27) of the Laws of Kenya and the Code of Conduct for Advocates.</w:t>
      </w:r>
    </w:p>
    <w:p>
      <w:pPr>
        <w:pStyle w:val="BodyText"/>
      </w:pPr>
      <w:r>
        <w:t xml:space="preserve">The fees charged on this Invoice reflect the professional time and expertise of the Lawyer and the firm's legal team. The rates are as stipulated in the written retainer agreement and are subject to annual review. No portion of the fees charged herein is contingent upon the outcome of the litigation matter referenced above.</w:t>
      </w:r>
    </w:p>
    <w:p>
      <w:pPr>
        <w:pStyle w:val="BodyText"/>
      </w:pPr>
      <w:r>
        <w:t xml:space="preserve">The client acknowledges that this Invoice covers all services rendered up to and including 10 June 2025. Any additional legal work performed after this date, including but not limited to trial attendance, further court appearances, or additional drafting, will be billed separately and invoiced at the end of the following month. The Lawyer will provide a written estimate for any significant additional work before commencing such work.</w:t>
      </w:r>
    </w:p>
    <w:p>
      <w:pPr>
        <w:pStyle w:val="BodyText"/>
      </w:pPr>
      <w:r>
        <w:t xml:space="preserve">This Invoice is valid for a period of ninety (90) days from the date of issue. After this period, the Invoice may be reissued with updated tax calculations if applicable. The firm's billing department in Nairobi, Kenya, is available to address any queries regarding this Invoice during business hours, Monday to Friday, 8:30 AM to 5:30 PM East Africa Time.</w:t>
      </w:r>
    </w:p>
    <w:p>
      <w:pPr>
        <w:pStyle w:val="BodyText"/>
      </w:pPr>
      <w:r>
        <w:t xml:space="preserve">By accepting this Invoice, the client confirms that the services described have been received and are satisfactory. Any disputes regarding the charges on this Invoice must be raised in writing within seven (7) days of receipt, and the matter will be resolved through the firm's internal billing review process before any escalation.</w:t>
      </w:r>
    </w:p>
    <w:bookmarkEnd w:id="24"/>
    <w:p>
      <w:pPr>
        <w:pStyle w:val="BodyText"/>
      </w:pPr>
      <w:r>
        <w:t xml:space="preserve">Authorised Signatory</w:t>
      </w:r>
    </w:p>
    <w:p>
      <w:pPr>
        <w:pStyle w:val="BodyText"/>
      </w:pPr>
      <w:r>
        <w:rPr>
          <w:bCs/>
          <w:b/>
        </w:rPr>
        <w:t xml:space="preserve">Adv. Grace Mwangi, LL.B (Nairobi)</w:t>
      </w:r>
      <w:r>
        <w:br/>
      </w:r>
      <w:r>
        <w:t xml:space="preserve">Lead Lawyer &amp; Managing Partner</w:t>
      </w:r>
      <w:r>
        <w:br/>
      </w:r>
      <w:r>
        <w:t xml:space="preserve">Mwangi &amp; Associates Advocates</w:t>
      </w:r>
      <w:r>
        <w:br/>
      </w:r>
      <w:r>
        <w:t xml:space="preserve">Nairobi, Kenya</w:t>
      </w:r>
    </w:p>
    <w:p>
      <w:pPr>
        <w:pStyle w:val="BodyText"/>
      </w:pPr>
      <w:r>
        <w:t xml:space="preserve">Client Acknowledgement</w:t>
      </w:r>
    </w:p>
    <w:p>
      <w:pPr>
        <w:pStyle w:val="BodyText"/>
      </w:pPr>
      <w:r>
        <w:rPr>
          <w:bCs/>
          <w:b/>
        </w:rPr>
        <w:t xml:space="preserve">Mr. James Otieno Kariuki</w:t>
      </w:r>
      <w:r>
        <w:br/>
      </w:r>
      <w:r>
        <w:t xml:space="preserve">Director, Otieno &amp; Partners Trading Ltd.</w:t>
      </w:r>
      <w:r>
        <w:br/>
      </w:r>
      <w:r>
        <w:t xml:space="preserve">Nairobi, Kenya</w:t>
      </w:r>
      <w:r>
        <w:br/>
      </w:r>
      <w:r>
        <w:t xml:space="preserve">Date: ___________________</w:t>
      </w:r>
    </w:p>
    <w:p>
      <w:pPr>
        <w:pStyle w:val="BodyText"/>
      </w:pPr>
      <w:r>
        <w:rPr>
          <w:bCs/>
          <w:b/>
        </w:rPr>
        <w:t xml:space="preserve">Mwangi &amp; Associates Advocates</w:t>
      </w:r>
      <w:r>
        <w:t xml:space="preserve"> </w:t>
      </w:r>
      <w:r>
        <w:t xml:space="preserve">| Suite 12, The Nairobi Law Chambers, Waiyaki Way, Westlands, Nairobi, Kenya</w:t>
      </w:r>
    </w:p>
    <w:p>
      <w:pPr>
        <w:pStyle w:val="BodyText"/>
      </w:pPr>
      <w:r>
        <w:t xml:space="preserve">Tel: +254 700 123 456 | Email: billing@mwangiadvocates.co.ke | KRA PIN: P109876543Z</w:t>
      </w:r>
    </w:p>
    <w:p>
      <w:pPr>
        <w:pStyle w:val="BodyText"/>
      </w:pPr>
      <w:r>
        <w:t xml:space="preserve">This Invoice was generated electronically and is valid without a physical stamp. For verification, contact the firm's billing department in Nairobi, Kenya.</w:t>
      </w:r>
    </w:p>
    <w:p>
      <w:pPr>
        <w:pStyle w:val="BodyText"/>
      </w:pPr>
      <w:r>
        <w:t xml:space="preserve">© 2025 Mwangi &amp; Associates Advocates. All rights reserved. This document is the property of the issuing law firm and is intended solely for the named client.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Nairobi, Kenya</dc:title>
  <dc:creator/>
  <dc:language>en</dc:language>
  <cp:keywords/>
  <dcterms:created xsi:type="dcterms:W3CDTF">2026-10-10T08:03:34Z</dcterms:created>
  <dcterms:modified xsi:type="dcterms:W3CDTF">2026-10-10T08:03:34Z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