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Lawyer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Professional Legal Services — Lawyer Fees &amp; Charges</w:t>
      </w:r>
    </w:p>
    <w:p>
      <w:pPr>
        <w:pStyle w:val="BodyText"/>
      </w:pPr>
      <w:r>
        <w:t xml:space="preserve">MALAYSIA KUALA LUMPUR</w:t>
      </w:r>
    </w:p>
    <w:bookmarkEnd w:id="20"/>
    <w:bookmarkStart w:id="21" w:name="lawyer-law-firm"/>
    <w:p>
      <w:pPr>
        <w:pStyle w:val="Heading3"/>
      </w:pPr>
      <w:r>
        <w:t xml:space="preserve">Lawyer / Law Firm</w:t>
      </w:r>
    </w:p>
    <w:p>
      <w:pPr>
        <w:pStyle w:val="FirstParagraph"/>
      </w:pPr>
      <w:r>
        <w:rPr>
          <w:bCs/>
          <w:b/>
        </w:rPr>
        <w:t xml:space="preserve">Tan &amp; Associates Advocates &amp; Solicitors</w:t>
      </w:r>
      <w:r>
        <w:br/>
      </w:r>
      <w:r>
        <w:t xml:space="preserve">Level 24, Menara KL Sentral</w:t>
      </w:r>
      <w:r>
        <w:br/>
      </w:r>
      <w:r>
        <w:t xml:space="preserve">201, Jalan Tun Sambanthan</w:t>
      </w:r>
      <w:r>
        <w:br/>
      </w:r>
      <w:r>
        <w:t xml:space="preserve">50470 Kuala Lumpur, Malaysia</w:t>
      </w:r>
      <w:r>
        <w:br/>
      </w:r>
      <w:r>
        <w:t xml:space="preserve">Tel: +603-2181 4567</w:t>
      </w:r>
      <w:r>
        <w:br/>
      </w:r>
      <w:r>
        <w:t xml:space="preserve">Email: billing@tassociates-kl.com.my</w:t>
      </w:r>
      <w:r>
        <w:br/>
      </w:r>
      <w:r>
        <w:t xml:space="preserve">Bar Council Reg. No: KL/2019/04521</w:t>
      </w:r>
    </w:p>
    <w:bookmarkEnd w:id="21"/>
    <w:bookmarkStart w:id="22" w:name="billed-to-client"/>
    <w:p>
      <w:pPr>
        <w:pStyle w:val="Heading3"/>
      </w:pPr>
      <w:r>
        <w:t xml:space="preserve">Billed To (Client)</w:t>
      </w:r>
    </w:p>
    <w:p>
      <w:pPr>
        <w:pStyle w:val="FirstParagraph"/>
      </w:pPr>
      <w:r>
        <w:rPr>
          <w:bCs/>
          <w:b/>
        </w:rPr>
        <w:t xml:space="preserve">Mr. Ahmad bin Ibrahim</w:t>
      </w:r>
      <w:r>
        <w:br/>
      </w:r>
      <w:r>
        <w:t xml:space="preserve">No. 12, Jalan Ampang Utama</w:t>
      </w:r>
      <w:r>
        <w:br/>
      </w:r>
      <w:r>
        <w:t xml:space="preserve">50450 Kuala Lumpur, Malaysia</w:t>
      </w:r>
      <w:r>
        <w:br/>
      </w:r>
      <w:r>
        <w:t xml:space="preserve">IC No: 850612-10-4421</w:t>
      </w:r>
      <w:r>
        <w:br/>
      </w:r>
      <w:r>
        <w:t xml:space="preserve">Tel: +6012-345 6789</w:t>
      </w:r>
      <w:r>
        <w:br/>
      </w:r>
      <w:r>
        <w:t xml:space="preserve">Email: ahmad.ibrahim@email.com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INV/2025/00847</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c>
          <w:tcPr/>
          <w:p>
            <w:pPr>
              <w:pStyle w:val="Compact"/>
              <w:jc w:val="left"/>
            </w:pPr>
            <w:r>
              <w:t xml:space="preserve">Reference / Case No:</w:t>
            </w:r>
          </w:p>
        </w:tc>
        <w:tc>
          <w:tcPr/>
          <w:p>
            <w:pPr>
              <w:pStyle w:val="Compact"/>
              <w:jc w:val="left"/>
            </w:pPr>
            <w:r>
              <w:t xml:space="preserve">TA-2025-CV-0312</w:t>
            </w:r>
          </w:p>
        </w:tc>
      </w:tr>
      <w:tr>
        <w:tc>
          <w:tcPr/>
          <w:p>
            <w:pPr>
              <w:pStyle w:val="Compact"/>
              <w:jc w:val="left"/>
            </w:pPr>
            <w:r>
              <w:t xml:space="preserve">Lawyer in Charge:</w:t>
            </w:r>
          </w:p>
        </w:tc>
        <w:tc>
          <w:tcPr/>
          <w:p>
            <w:pPr>
              <w:pStyle w:val="Compact"/>
              <w:jc w:val="left"/>
            </w:pPr>
            <w:r>
              <w:t xml:space="preserve">Adv. Tan Wei Ming (Bar No: KL/2019/04521)</w:t>
            </w:r>
          </w:p>
        </w:tc>
        <w:tc>
          <w:tcPr/>
          <w:p>
            <w:pPr>
              <w:pStyle w:val="Compact"/>
              <w:jc w:val="left"/>
            </w:pPr>
            <w:r>
              <w:t xml:space="preserve">Payment Method:</w:t>
            </w:r>
          </w:p>
        </w:tc>
        <w:tc>
          <w:tcPr/>
          <w:p>
            <w:pPr>
              <w:pStyle w:val="Compact"/>
              <w:jc w:val="left"/>
            </w:pPr>
            <w:r>
              <w:t xml:space="preserve">Bank Transfer / Cheque</w:t>
            </w:r>
          </w:p>
        </w:tc>
      </w:tr>
    </w:tbl>
    <w:bookmarkStart w:id="23" w:name="description-of-legal-services-rendered"/>
    <w:p>
      <w:pPr>
        <w:pStyle w:val="Heading2"/>
      </w:pPr>
      <w:r>
        <w:t xml:space="preserve">Description of Legal Services Rendered</w:t>
      </w:r>
    </w:p>
    <w:p>
      <w:pPr>
        <w:pStyle w:val="FirstParagraph"/>
      </w:pPr>
      <w:r>
        <w:t xml:space="preserve">This Invoice is issued by the undersigned Lawyer, Adv. Tan Wei Ming, of Tan &amp; Associates Advocates &amp; Solicitors, a registered law firm practising in Malaysia Kuala Lumpur, in respect of the professional legal services rendered to the above-named client. The services described herein relate to the matter of</w:t>
      </w:r>
      <w:r>
        <w:t xml:space="preserve"> </w:t>
      </w:r>
      <w:r>
        <w:rPr>
          <w:iCs/>
          <w:i/>
        </w:rPr>
        <w:t xml:space="preserve">Ahmad bin Ibrahim v. Syarikat Pembinaan Maju Sdn. Bhd.</w:t>
      </w:r>
      <w:r>
        <w:t xml:space="preserve"> </w:t>
      </w:r>
      <w:r>
        <w:t xml:space="preserve">(Civil Suit No. 2025-0312, High Court of Malaya, Kuala Lumpur). All fees and charges set out in this Invoice are in accordance with the retainer agreement executed on 10 March 2025 and the applicable rules of the Malaysian Bar Council governing the fees of a Lawyer practising in Malaysia Kuala Lumpur.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Date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10 Mar 2025</w:t>
            </w:r>
          </w:p>
        </w:tc>
        <w:tc>
          <w:tcPr/>
          <w:p>
            <w:pPr>
              <w:pStyle w:val="Compact"/>
              <w:jc w:val="left"/>
            </w:pPr>
            <w:r>
              <w:t xml:space="preserve">Initial consultation and case assessment. Review of construction contract, correspondence, and site inspection reports. Preparation of legal opinion on breach of contract claims.</w:t>
            </w:r>
          </w:p>
        </w:tc>
        <w:tc>
          <w:tcPr/>
          <w:p>
            <w:pPr>
              <w:pStyle w:val="Compact"/>
              <w:jc w:val="left"/>
            </w:pPr>
            <w:r>
              <w:t xml:space="preserve">3.5</w:t>
            </w:r>
          </w:p>
        </w:tc>
        <w:tc>
          <w:tcPr/>
          <w:p>
            <w:pPr>
              <w:pStyle w:val="Compact"/>
              <w:jc w:val="left"/>
            </w:pPr>
            <w:r>
              <w:t xml:space="preserve">450.00</w:t>
            </w:r>
          </w:p>
        </w:tc>
        <w:tc>
          <w:tcPr/>
          <w:p>
            <w:pPr>
              <w:pStyle w:val="Compact"/>
              <w:jc w:val="left"/>
            </w:pPr>
            <w:r>
              <w:t xml:space="preserve">1,575.00</w:t>
            </w:r>
          </w:p>
        </w:tc>
      </w:tr>
      <w:tr>
        <w:tc>
          <w:tcPr/>
          <w:p>
            <w:pPr>
              <w:pStyle w:val="Compact"/>
              <w:jc w:val="left"/>
            </w:pPr>
            <w:r>
              <w:t xml:space="preserve">2</w:t>
            </w:r>
          </w:p>
        </w:tc>
        <w:tc>
          <w:tcPr/>
          <w:p>
            <w:pPr>
              <w:pStyle w:val="Compact"/>
              <w:jc w:val="left"/>
            </w:pPr>
            <w:r>
              <w:t xml:space="preserve">18 Mar 2025</w:t>
            </w:r>
          </w:p>
        </w:tc>
        <w:tc>
          <w:tcPr/>
          <w:p>
            <w:pPr>
              <w:pStyle w:val="Compact"/>
              <w:jc w:val="left"/>
            </w:pPr>
            <w:r>
              <w:t xml:space="preserve">Drafting and filing of the Writ of Summons, Statement of Claim, and supporting affidavits at the High Court of Malaya, Kuala Lumpur. Court filing fees and stamp duty disbursements.</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3</w:t>
            </w:r>
          </w:p>
        </w:tc>
        <w:tc>
          <w:tcPr/>
          <w:p>
            <w:pPr>
              <w:pStyle w:val="Compact"/>
              <w:jc w:val="left"/>
            </w:pPr>
            <w:r>
              <w:t xml:space="preserve">02 Apr 2025</w:t>
            </w:r>
          </w:p>
        </w:tc>
        <w:tc>
          <w:tcPr/>
          <w:p>
            <w:pPr>
              <w:pStyle w:val="Compact"/>
              <w:jc w:val="left"/>
            </w:pPr>
            <w:r>
              <w:t xml:space="preserve">Preparation of Defence and Counter-Claim strategy. Drafting of Particulars of Claim. Coordination with expert witnesses (structural engineer and quantity surveyor) based in Malaysia Kuala Lumpur.</w:t>
            </w:r>
          </w:p>
        </w:tc>
        <w:tc>
          <w:tcPr/>
          <w:p>
            <w:pPr>
              <w:pStyle w:val="Compact"/>
              <w:jc w:val="left"/>
            </w:pPr>
            <w:r>
              <w:t xml:space="preserve">5.5</w:t>
            </w:r>
          </w:p>
        </w:tc>
        <w:tc>
          <w:tcPr/>
          <w:p>
            <w:pPr>
              <w:pStyle w:val="Compact"/>
              <w:jc w:val="left"/>
            </w:pPr>
            <w:r>
              <w:t xml:space="preserve">450.00</w:t>
            </w:r>
          </w:p>
        </w:tc>
        <w:tc>
          <w:tcPr/>
          <w:p>
            <w:pPr>
              <w:pStyle w:val="Compact"/>
              <w:jc w:val="left"/>
            </w:pPr>
            <w:r>
              <w:t xml:space="preserve">2,475.00</w:t>
            </w:r>
          </w:p>
        </w:tc>
      </w:tr>
      <w:tr>
        <w:tc>
          <w:tcPr/>
          <w:p>
            <w:pPr>
              <w:pStyle w:val="Compact"/>
              <w:jc w:val="left"/>
            </w:pPr>
            <w:r>
              <w:t xml:space="preserve">4</w:t>
            </w:r>
          </w:p>
        </w:tc>
        <w:tc>
          <w:tcPr/>
          <w:p>
            <w:pPr>
              <w:pStyle w:val="Compact"/>
              <w:jc w:val="left"/>
            </w:pPr>
            <w:r>
              <w:t xml:space="preserve">20 Apr 2025</w:t>
            </w:r>
          </w:p>
        </w:tc>
        <w:tc>
          <w:tcPr/>
          <w:p>
            <w:pPr>
              <w:pStyle w:val="Compact"/>
              <w:jc w:val="left"/>
            </w:pPr>
            <w:r>
              <w:t xml:space="preserve">Attendance at Case Management Conference No. 1 before the Registrar, High Court, Kuala Lumpur. Negotiation of discovery and disclosure schedule with opposing counsel.</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08 May 2025</w:t>
            </w:r>
          </w:p>
        </w:tc>
        <w:tc>
          <w:tcPr/>
          <w:p>
            <w:pPr>
              <w:pStyle w:val="Compact"/>
              <w:jc w:val="left"/>
            </w:pPr>
            <w:r>
              <w:t xml:space="preserve">Review and analysis of 340 pages of disclosed documents. Preparation of chronology and issue list. Drafting of affidavit in support of application for interim injunction.</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22 May 2025</w:t>
            </w:r>
          </w:p>
        </w:tc>
        <w:tc>
          <w:tcPr/>
          <w:p>
            <w:pPr>
              <w:pStyle w:val="Compact"/>
              <w:jc w:val="left"/>
            </w:pPr>
            <w:r>
              <w:t xml:space="preserve">Attendance at hearing of Interim Injunction Application before Justice Dato' Sri Nurul Huda, High Court, Kuala Lumpur. Oral submissions and cross-examination of opposing party's witness.</w:t>
            </w:r>
          </w:p>
        </w:tc>
        <w:tc>
          <w:tcPr/>
          <w:p>
            <w:pPr>
              <w:pStyle w:val="Compact"/>
              <w:jc w:val="left"/>
            </w:pPr>
            <w:r>
              <w:t xml:space="preserve">7.5</w:t>
            </w:r>
          </w:p>
        </w:tc>
        <w:tc>
          <w:tcPr/>
          <w:p>
            <w:pPr>
              <w:pStyle w:val="Compact"/>
              <w:jc w:val="left"/>
            </w:pPr>
            <w:r>
              <w:t xml:space="preserve">450.00</w:t>
            </w:r>
          </w:p>
        </w:tc>
        <w:tc>
          <w:tcPr/>
          <w:p>
            <w:pPr>
              <w:pStyle w:val="Compact"/>
              <w:jc w:val="left"/>
            </w:pPr>
            <w:r>
              <w:t xml:space="preserve">3,375.00</w:t>
            </w:r>
          </w:p>
        </w:tc>
      </w:tr>
      <w:tr>
        <w:tc>
          <w:tcPr/>
          <w:p>
            <w:pPr>
              <w:pStyle w:val="Compact"/>
              <w:jc w:val="left"/>
            </w:pPr>
            <w:r>
              <w:t xml:space="preserve">7</w:t>
            </w:r>
          </w:p>
        </w:tc>
        <w:tc>
          <w:tcPr/>
          <w:p>
            <w:pPr>
              <w:pStyle w:val="Compact"/>
              <w:jc w:val="left"/>
            </w:pPr>
            <w:r>
              <w:t xml:space="preserve">05 Jun 2025</w:t>
            </w:r>
          </w:p>
        </w:tc>
        <w:tc>
          <w:tcPr/>
          <w:p>
            <w:pPr>
              <w:pStyle w:val="Compact"/>
              <w:jc w:val="left"/>
            </w:pPr>
            <w:r>
              <w:t xml:space="preserve">Post-hearing written submissions. Drafting of proposed order. Correspondence with opposing counsel regarding settlement terms. Client briefing call (45 minutes).</w:t>
            </w:r>
          </w:p>
        </w:tc>
        <w:tc>
          <w:tcPr/>
          <w:p>
            <w:pPr>
              <w:pStyle w:val="Compact"/>
              <w:jc w:val="left"/>
            </w:pPr>
            <w:r>
              <w:t xml:space="preserve">4.5</w:t>
            </w:r>
          </w:p>
        </w:tc>
        <w:tc>
          <w:tcPr/>
          <w:p>
            <w:pPr>
              <w:pStyle w:val="Compact"/>
              <w:jc w:val="left"/>
            </w:pPr>
            <w:r>
              <w:t xml:space="preserve">450.00</w:t>
            </w:r>
          </w:p>
        </w:tc>
        <w:tc>
          <w:tcPr/>
          <w:p>
            <w:pPr>
              <w:pStyle w:val="Compact"/>
              <w:jc w:val="left"/>
            </w:pPr>
            <w:r>
              <w:t xml:space="preserve">2,025.00</w:t>
            </w:r>
          </w:p>
        </w:tc>
      </w:tr>
      <w:tr>
        <w:tc>
          <w:tcPr/>
          <w:p>
            <w:pPr>
              <w:pStyle w:val="Compact"/>
              <w:jc w:val="left"/>
            </w:pPr>
            <w:r>
              <w:t xml:space="preserve">8</w:t>
            </w:r>
          </w:p>
        </w:tc>
        <w:tc>
          <w:tcPr/>
          <w:p>
            <w:pPr>
              <w:pStyle w:val="Compact"/>
              <w:jc w:val="left"/>
            </w:pPr>
            <w:r>
              <w:t xml:space="preserve">12 Jun 2025</w:t>
            </w:r>
          </w:p>
        </w:tc>
        <w:tc>
          <w:tcPr/>
          <w:p>
            <w:pPr>
              <w:pStyle w:val="Compact"/>
              <w:jc w:val="left"/>
            </w:pPr>
            <w:r>
              <w:t xml:space="preserve">Disbursements: Court filing fees (RM 250), stamp duty on documents (RM 180), courier and postage (RM 95), expert witness report fees (RM 3,500), photocopying and printing (RM 120).</w:t>
            </w:r>
          </w:p>
        </w:tc>
        <w:tc>
          <w:tcPr/>
          <w:p>
            <w:pPr>
              <w:pStyle w:val="Compact"/>
              <w:jc w:val="left"/>
            </w:pPr>
            <w:r>
              <w:t xml:space="preserve">—</w:t>
            </w:r>
          </w:p>
        </w:tc>
        <w:tc>
          <w:tcPr/>
          <w:p>
            <w:pPr>
              <w:pStyle w:val="Compact"/>
              <w:jc w:val="left"/>
            </w:pPr>
            <w:r>
              <w:t xml:space="preserve">—</w:t>
            </w:r>
          </w:p>
        </w:tc>
        <w:tc>
          <w:tcPr/>
          <w:p>
            <w:pPr>
              <w:pStyle w:val="Compact"/>
              <w:jc w:val="left"/>
            </w:pPr>
            <w:r>
              <w:t xml:space="preserve">4,145.00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RM 17,550.00</w:t>
            </w:r>
          </w:p>
        </w:tc>
      </w:tr>
      <w:tr>
        <w:tc>
          <w:tcPr/>
          <w:p>
            <w:pPr>
              <w:pStyle w:val="Compact"/>
              <w:jc w:val="left"/>
            </w:pPr>
            <w:r>
              <w:t xml:space="preserve">Disbursements &amp; Out-of-Pocket Expenses</w:t>
            </w:r>
          </w:p>
        </w:tc>
        <w:tc>
          <w:tcPr/>
          <w:p>
            <w:pPr>
              <w:pStyle w:val="Compact"/>
              <w:jc w:val="right"/>
            </w:pPr>
            <w:r>
              <w:t xml:space="preserve">RM 4,145.00</w:t>
            </w:r>
          </w:p>
        </w:tc>
      </w:tr>
      <w:tr>
        <w:tc>
          <w:tcPr/>
          <w:p>
            <w:pPr>
              <w:pStyle w:val="Compact"/>
              <w:jc w:val="left"/>
            </w:pPr>
            <w:r>
              <w:t xml:space="preserve">Subtotal</w:t>
            </w:r>
          </w:p>
        </w:tc>
        <w:tc>
          <w:tcPr/>
          <w:p>
            <w:pPr>
              <w:pStyle w:val="Compact"/>
              <w:jc w:val="right"/>
            </w:pPr>
            <w:r>
              <w:t xml:space="preserve">RM 21,695.00</w:t>
            </w:r>
          </w:p>
        </w:tc>
      </w:tr>
      <w:tr>
        <w:tc>
          <w:tcPr/>
          <w:p>
            <w:pPr>
              <w:pStyle w:val="Compact"/>
              <w:jc w:val="left"/>
            </w:pPr>
            <w:r>
              <w:t xml:space="preserve">SST @ 6% (Service Tax on Legal Fees)</w:t>
            </w:r>
          </w:p>
        </w:tc>
        <w:tc>
          <w:tcPr/>
          <w:p>
            <w:pPr>
              <w:pStyle w:val="Compact"/>
              <w:jc w:val="right"/>
            </w:pPr>
            <w:r>
              <w:t xml:space="preserve">RM 1,053.00</w:t>
            </w:r>
          </w:p>
        </w:tc>
      </w:tr>
      <w:tr>
        <w:tc>
          <w:tcPr/>
          <w:p>
            <w:pPr>
              <w:pStyle w:val="Compact"/>
              <w:jc w:val="left"/>
            </w:pPr>
            <w:r>
              <w:t xml:space="preserve">TOTAL AMOUNT DUE</w:t>
            </w:r>
          </w:p>
        </w:tc>
        <w:tc>
          <w:tcPr/>
          <w:p>
            <w:pPr>
              <w:pStyle w:val="Compact"/>
              <w:jc w:val="right"/>
            </w:pPr>
            <w:r>
              <w:t xml:space="preserve">RM 22,748.00</w:t>
            </w:r>
          </w:p>
        </w:tc>
      </w:tr>
    </w:tbl>
    <w:bookmarkEnd w:id="23"/>
    <w:bookmarkStart w:id="24" w:name="payment-terms-instructions"/>
    <w:p>
      <w:pPr>
        <w:pStyle w:val="Heading2"/>
      </w:pPr>
      <w:r>
        <w:t xml:space="preserve">Payment Terms &amp; Instructions</w:t>
      </w:r>
    </w:p>
    <w:p>
      <w:pPr>
        <w:pStyle w:val="FirstParagraph"/>
      </w:pPr>
      <w:r>
        <w:t xml:space="preserve">The total amount of</w:t>
      </w:r>
      <w:r>
        <w:t xml:space="preserve"> </w:t>
      </w:r>
      <w:r>
        <w:rPr>
          <w:bCs/>
          <w:b/>
        </w:rPr>
        <w:t xml:space="preserve">RM 22,748.00</w:t>
      </w:r>
      <w:r>
        <w:t xml:space="preserve"> </w:t>
      </w:r>
      <w:r>
        <w:t xml:space="preserve">(Ringgit Malaysia Twenty-Two Thousand Seven Hundred and Forty-Eight only) is due and payable within</w:t>
      </w:r>
      <w:r>
        <w:t xml:space="preserve"> </w:t>
      </w:r>
      <w:r>
        <w:rPr>
          <w:bCs/>
          <w:b/>
        </w:rPr>
        <w:t xml:space="preserve">fourteen (14) calendar days</w:t>
      </w:r>
      <w:r>
        <w:t xml:space="preserve"> </w:t>
      </w:r>
      <w:r>
        <w:t xml:space="preserve">from the date of this Invoice, i.e., on or before</w:t>
      </w:r>
      <w:r>
        <w:t xml:space="preserve"> </w:t>
      </w:r>
      <w:r>
        <w:rPr>
          <w:bCs/>
          <w:b/>
        </w:rPr>
        <w:t xml:space="preserve">30 June 2025</w:t>
      </w:r>
      <w:r>
        <w:t xml:space="preserve">. Payment shall be made via bank transfer to the following account of the Lawyer's firm:</w:t>
      </w:r>
    </w:p>
    <w:p>
      <w:pPr>
        <w:pStyle w:val="BodyText"/>
      </w:pPr>
      <w:r>
        <w:rPr>
          <w:bCs/>
          <w:b/>
        </w:rPr>
        <w:t xml:space="preserve">Bank:</w:t>
      </w:r>
      <w:r>
        <w:t xml:space="preserve"> </w:t>
      </w:r>
      <w:r>
        <w:t xml:space="preserve">Maybank Berhad</w:t>
      </w:r>
      <w:r>
        <w:br/>
      </w:r>
      <w:r>
        <w:rPr>
          <w:bCs/>
          <w:b/>
        </w:rPr>
        <w:t xml:space="preserve">Account Name:</w:t>
      </w:r>
      <w:r>
        <w:t xml:space="preserve"> </w:t>
      </w:r>
      <w:r>
        <w:t xml:space="preserve">Tan &amp; Associates Advocates &amp; Solicitors</w:t>
      </w:r>
      <w:r>
        <w:br/>
      </w:r>
      <w:r>
        <w:rPr>
          <w:bCs/>
          <w:b/>
        </w:rPr>
        <w:t xml:space="preserve">Account No:</w:t>
      </w:r>
      <w:r>
        <w:t xml:space="preserve"> </w:t>
      </w:r>
      <w:r>
        <w:t xml:space="preserve">5123 4567 8901</w:t>
      </w:r>
      <w:r>
        <w:br/>
      </w:r>
      <w:r>
        <w:rPr>
          <w:bCs/>
          <w:b/>
        </w:rPr>
        <w:t xml:space="preserve">SWIFT Code:</w:t>
      </w:r>
      <w:r>
        <w:t xml:space="preserve"> </w:t>
      </w:r>
      <w:r>
        <w:t xml:space="preserve">MAYBMYKL</w:t>
      </w:r>
      <w:r>
        <w:br/>
      </w:r>
      <w:r>
        <w:rPr>
          <w:bCs/>
          <w:b/>
        </w:rPr>
        <w:t xml:space="preserve">Reference:</w:t>
      </w:r>
      <w:r>
        <w:t xml:space="preserve"> </w:t>
      </w:r>
      <w:r>
        <w:t xml:space="preserve">INV/2025/00847</w:t>
      </w:r>
    </w:p>
    <w:bookmarkEnd w:id="24"/>
    <w:bookmarkStart w:id="25" w:name="terms-conditions"/>
    <w:p>
      <w:pPr>
        <w:pStyle w:val="Heading2"/>
      </w:pPr>
      <w:r>
        <w:t xml:space="preserve">Terms &amp; Conditions</w:t>
      </w:r>
    </w:p>
    <w:p>
      <w:pPr>
        <w:numPr>
          <w:ilvl w:val="0"/>
          <w:numId w:val="1001"/>
        </w:numPr>
        <w:pStyle w:val="Compact"/>
      </w:pPr>
      <w:r>
        <w:t xml:space="preserve">This Invoice constitutes a formal demand for payment of all professional fees, disbursements, and charges incurred by the Lawyer in the course of providing legal services in Malaysia Kuala Lumpur. The client acknowledges receipt of this Invoice and agrees to the amounts stated herein.</w:t>
      </w:r>
    </w:p>
    <w:p>
      <w:pPr>
        <w:numPr>
          <w:ilvl w:val="0"/>
          <w:numId w:val="1001"/>
        </w:numPr>
        <w:pStyle w:val="Compact"/>
      </w:pPr>
      <w:r>
        <w:t xml:space="preserve">Any amount not paid by the due date shall attract a late payment interest at the rate of 10% per annum, calculated on a daily basis from the due date until the date of full payment, in accordance with the Legal Profession (Professional Conduct) Rules 2012 applicable to every Lawyer practising in Malaysia.</w:t>
      </w:r>
    </w:p>
    <w:p>
      <w:pPr>
        <w:numPr>
          <w:ilvl w:val="0"/>
          <w:numId w:val="1001"/>
        </w:numPr>
        <w:pStyle w:val="Compact"/>
      </w:pPr>
      <w:r>
        <w:t xml:space="preserve">The Lawyer reserves the right to suspend all further legal work and to withdraw from the matter under Section 10 of the Legal Profession Act 1976 if payment is not received within the stipulated period. The client shall be liable for any costs and consequences arising from such suspension or withdrawal.</w:t>
      </w:r>
    </w:p>
    <w:p>
      <w:pPr>
        <w:numPr>
          <w:ilvl w:val="0"/>
          <w:numId w:val="1001"/>
        </w:numPr>
        <w:pStyle w:val="Compact"/>
      </w:pPr>
      <w:r>
        <w:t xml:space="preserve">All fees quoted in this Invoice are exclusive of Sales and Service Tax (SST) at the prevailing rate of 6%, which is levied on professional legal services rendered by a registered Lawyer in Malaysia Kuala Lumpur as mandated by the Royal Malaysian Customs Department.</w:t>
      </w:r>
    </w:p>
    <w:p>
      <w:pPr>
        <w:numPr>
          <w:ilvl w:val="0"/>
          <w:numId w:val="1001"/>
        </w:numPr>
        <w:pStyle w:val="Compact"/>
      </w:pPr>
      <w:r>
        <w:t xml:space="preserve">Disbursements and out-of-pocket expenses (including court fees, stamp duty, expert witness fees, and courier charges) are charged at actual cost and are not subject to the Lawyer's professional fee rate. Receipts for all disbursements are available upon request.</w:t>
      </w:r>
    </w:p>
    <w:p>
      <w:pPr>
        <w:numPr>
          <w:ilvl w:val="0"/>
          <w:numId w:val="1001"/>
        </w:numPr>
        <w:pStyle w:val="Compact"/>
      </w:pPr>
      <w:r>
        <w:t xml:space="preserve">This Invoice does not constitute a guarantee of any particular outcome in the litigation. The Lawyer's professional judgment and strategy are exercised in the best interest of the client in accordance with the Malaysian legal framework.</w:t>
      </w:r>
    </w:p>
    <w:p>
      <w:pPr>
        <w:numPr>
          <w:ilvl w:val="0"/>
          <w:numId w:val="1001"/>
        </w:numPr>
        <w:pStyle w:val="Compact"/>
      </w:pPr>
      <w:r>
        <w:t xml:space="preserve">Any disputes arising from this Invoice or the underlying retainer agreement shall be resolved in the courts of Malaysia Kuala Lumpur, and the laws of Malaysia shall govern this Invoice and all related matters.</w:t>
      </w:r>
    </w:p>
    <w:p>
      <w:pPr>
        <w:numPr>
          <w:ilvl w:val="0"/>
          <w:numId w:val="1001"/>
        </w:numPr>
        <w:pStyle w:val="Compact"/>
      </w:pPr>
      <w:r>
        <w:t xml:space="preserve">The client is advised to retain this Invoice for tax and accounting purposes. A duplicate copy may be requested from the firm's billing department at Level 24, Menara KL Sentral, Kuala Lumpur, Malaysia.</w:t>
      </w:r>
    </w:p>
    <w:p>
      <w:pPr>
        <w:pStyle w:val="FirstParagraph"/>
      </w:pPr>
      <w:r>
        <w:t xml:space="preserve">Authorised Signatory for the Lawyer / Law Firm:</w:t>
      </w:r>
    </w:p>
    <w:p>
      <w:pPr>
        <w:pStyle w:val="BodyText"/>
      </w:pPr>
      <w:r>
        <w:rPr>
          <w:bCs/>
          <w:b/>
        </w:rPr>
        <w:t xml:space="preserve">Adv. Tan Wei Ming</w:t>
      </w:r>
      <w:r>
        <w:br/>
      </w:r>
      <w:r>
        <w:t xml:space="preserve">Partner, Tan &amp; Associates Advocates &amp; Solicitors</w:t>
      </w:r>
      <w:r>
        <w:br/>
      </w:r>
      <w:r>
        <w:t xml:space="preserve">Malaysia Kuala Lumpur</w:t>
      </w:r>
      <w:r>
        <w:br/>
      </w:r>
      <w:r>
        <w:t xml:space="preserve">Date: 15 June 2025</w:t>
      </w:r>
    </w:p>
    <w:p>
      <w:pPr>
        <w:pStyle w:val="BodyText"/>
      </w:pPr>
      <w:r>
        <w:rPr>
          <w:bCs/>
          <w:b/>
        </w:rPr>
        <w:t xml:space="preserve">Tan &amp; Associates Advocates &amp; Solicitors</w:t>
      </w:r>
      <w:r>
        <w:t xml:space="preserve"> </w:t>
      </w:r>
      <w:r>
        <w:t xml:space="preserve">— A registered law firm practising in Malaysia Kuala Lumpur.</w:t>
      </w:r>
      <w:r>
        <w:br/>
      </w:r>
      <w:r>
        <w:t xml:space="preserve">This Invoice is issued in accordance with the Legal Profession Act 1976 and the Malaysian Bar Council's guidelines on fee transparency.</w:t>
      </w:r>
      <w:r>
        <w:br/>
      </w:r>
      <w:r>
        <w:t xml:space="preserve">For queries regarding this Invoice, please contact our billing department at billing@tassociates-kl.com.my or +603-2181 4567 (Mon–Fri, 9:00 AM – 5:30 PM).</w:t>
      </w:r>
      <w:r>
        <w:br/>
      </w:r>
      <w:r>
        <w:br/>
      </w:r>
      <w:r>
        <w:t xml:space="preserve">© 2025 Tan &amp; Associates Advocates &amp; Solicitors. All rights reserved. Invoice INV/2025/00847.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Lawyer Services - Malaysia Kuala Lumpur</dc:title>
  <dc:creator/>
  <dc:language>en</dc:language>
  <cp:keywords/>
  <dcterms:created xsi:type="dcterms:W3CDTF">2026-10-10T05:53:28Z</dcterms:created>
  <dcterms:modified xsi:type="dcterms:W3CDTF">2026-10-10T05:53:28Z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