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garcía-mendoza-torres-s.c."/>
    <w:p>
      <w:pPr>
        <w:pStyle w:val="Heading1"/>
      </w:pPr>
      <w:r>
        <w:t xml:space="preserve">García, Mendoza &amp; Torres, S.C.</w:t>
      </w:r>
    </w:p>
    <w:p>
      <w:pPr>
        <w:pStyle w:val="FirstParagraph"/>
      </w:pPr>
      <w:r>
        <w:t xml:space="preserve">Abogados y Notarios | Legal Counsel &amp; Advisory</w:t>
      </w:r>
    </w:p>
    <w:p>
      <w:pPr>
        <w:pStyle w:val="BodyText"/>
      </w:pPr>
      <w:r>
        <w:t xml:space="preserve">Av. Paseo de la Reforma 505, Piso 12, Col. Cuauhtémoc</w:t>
      </w:r>
    </w:p>
    <w:p>
      <w:pPr>
        <w:pStyle w:val="BodyText"/>
      </w:pPr>
      <w:r>
        <w:t xml:space="preserve">Mexico, Mexico City 06600, Mexico</w:t>
      </w:r>
    </w:p>
    <w:p>
      <w:pPr>
        <w:pStyle w:val="BodyText"/>
      </w:pPr>
      <w:r>
        <w:t xml:space="preserve">Tel: +52 (55) 5264-8890 | Email: billing@garciamendozatorres.mx</w:t>
      </w:r>
    </w:p>
    <w:p>
      <w:pPr>
        <w:pStyle w:val="BodyText"/>
      </w:pPr>
      <w:r>
        <w:t xml:space="preserve">RFC: GMT080512AB1 | SAT Registration: 08-05-2008</w:t>
      </w:r>
    </w:p>
    <w:p>
      <w:pPr>
        <w:pStyle w:val="BodyText"/>
      </w:pPr>
      <w:r>
        <w:t xml:space="preserve">Licensed Lawyer Firm – Mexico City Bar Association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INV-2025-MC-04872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Reference:</w:t>
      </w:r>
      <w:r>
        <w:t xml:space="preserve"> </w:t>
      </w:r>
      <w:r>
        <w:t xml:space="preserve">Case File #MC-2025-3341</w:t>
      </w:r>
    </w:p>
    <w:p>
      <w:pPr>
        <w:pStyle w:val="BodyText"/>
      </w:pPr>
      <w:r>
        <w:rPr>
          <w:bCs/>
          <w:b/>
        </w:rPr>
        <w:t xml:space="preserve">Country:</w:t>
      </w:r>
      <w:r>
        <w:t xml:space="preserve"> </w:t>
      </w:r>
      <w:r>
        <w:t xml:space="preserve">Mexico – Mexico City</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Grupo Industrial del Valle, S.A. de C.V.</w:t>
      </w:r>
    </w:p>
    <w:p>
      <w:pPr>
        <w:pStyle w:val="BodyText"/>
      </w:pPr>
      <w:r>
        <w:rPr>
          <w:bCs/>
          <w:b/>
        </w:rPr>
        <w:t xml:space="preserve">Attn:</w:t>
      </w:r>
      <w:r>
        <w:t xml:space="preserve"> </w:t>
      </w:r>
      <w:r>
        <w:t xml:space="preserve">Lic. Roberto Hernández Salazar</w:t>
      </w:r>
    </w:p>
    <w:p>
      <w:pPr>
        <w:pStyle w:val="BodyText"/>
      </w:pPr>
      <w:r>
        <w:rPr>
          <w:bCs/>
          <w:b/>
        </w:rPr>
        <w:t xml:space="preserve">Address:</w:t>
      </w:r>
      <w:r>
        <w:t xml:space="preserve"> </w:t>
      </w:r>
      <w:r>
        <w:t xml:space="preserve">Blvd. Manuel Ávila Camacho 1200, Piso 8</w:t>
      </w:r>
    </w:p>
    <w:p>
      <w:pPr>
        <w:pStyle w:val="BodyText"/>
      </w:pPr>
      <w:r>
        <w:rPr>
          <w:bCs/>
          <w:b/>
        </w:rPr>
        <w:t xml:space="preserve">Col. Lomas Altas, Mexico, Mexico City 11950</w:t>
      </w:r>
    </w:p>
    <w:p>
      <w:pPr>
        <w:pStyle w:val="BodyText"/>
      </w:pPr>
      <w:r>
        <w:rPr>
          <w:bCs/>
          <w:b/>
        </w:rPr>
        <w:t xml:space="preserve">RFC:</w:t>
      </w:r>
      <w:r>
        <w:t xml:space="preserve"> </w:t>
      </w:r>
      <w:r>
        <w:t xml:space="preserve">GIV120315CD2</w:t>
      </w:r>
    </w:p>
    <w:p>
      <w:pPr>
        <w:pStyle w:val="BodyText"/>
      </w:pPr>
      <w:r>
        <w:rPr>
          <w:bCs/>
          <w:b/>
        </w:rPr>
        <w:t xml:space="preserve">Contact:</w:t>
      </w:r>
      <w:r>
        <w:t xml:space="preserve"> </w:t>
      </w:r>
      <w:r>
        <w:t xml:space="preserve">rhernandez@grupovalle.mx</w:t>
      </w:r>
    </w:p>
    <w:bookmarkEnd w:id="22"/>
    <w:bookmarkStart w:id="23" w:name="prepared-by-lawyer"/>
    <w:p>
      <w:pPr>
        <w:pStyle w:val="Heading3"/>
      </w:pPr>
      <w:r>
        <w:t xml:space="preserve">Prepared By (Lawyer)</w:t>
      </w:r>
    </w:p>
    <w:p>
      <w:pPr>
        <w:pStyle w:val="FirstParagraph"/>
      </w:pPr>
      <w:r>
        <w:rPr>
          <w:bCs/>
          <w:b/>
        </w:rPr>
        <w:t xml:space="preserve">Lead Attorney:</w:t>
      </w:r>
      <w:r>
        <w:t xml:space="preserve"> </w:t>
      </w:r>
      <w:r>
        <w:t xml:space="preserve">Mtra. Abogada Lucía García Mendoza</w:t>
      </w:r>
    </w:p>
    <w:p>
      <w:pPr>
        <w:pStyle w:val="BodyText"/>
      </w:pPr>
      <w:r>
        <w:rPr>
          <w:bCs/>
          <w:b/>
        </w:rPr>
        <w:t xml:space="preserve">License No.:</w:t>
      </w:r>
      <w:r>
        <w:t xml:space="preserve"> </w:t>
      </w:r>
      <w:r>
        <w:t xml:space="preserve">4521-MX-CDMX</w:t>
      </w:r>
    </w:p>
    <w:p>
      <w:pPr>
        <w:pStyle w:val="BodyText"/>
      </w:pPr>
      <w:r>
        <w:rPr>
          <w:bCs/>
          <w:b/>
        </w:rPr>
        <w:t xml:space="preserve">Bar Registration:</w:t>
      </w:r>
      <w:r>
        <w:t xml:space="preserve"> </w:t>
      </w:r>
      <w:r>
        <w:t xml:space="preserve">Mexico City Bar Association</w:t>
      </w:r>
    </w:p>
    <w:p>
      <w:pPr>
        <w:pStyle w:val="BodyText"/>
      </w:pPr>
      <w:r>
        <w:rPr>
          <w:bCs/>
          <w:b/>
        </w:rPr>
        <w:t xml:space="preserve">Specialization:</w:t>
      </w:r>
      <w:r>
        <w:t xml:space="preserve"> </w:t>
      </w:r>
      <w:r>
        <w:t xml:space="preserve">Corporate &amp; Commercial Law</w:t>
      </w:r>
    </w:p>
    <w:p>
      <w:pPr>
        <w:pStyle w:val="BodyText"/>
      </w:pPr>
      <w:r>
        <w:rPr>
          <w:bCs/>
          <w:b/>
        </w:rPr>
        <w:t xml:space="preserve">Direct Line:</w:t>
      </w:r>
      <w:r>
        <w:t xml:space="preserve"> </w:t>
      </w:r>
      <w:r>
        <w:t xml:space="preserve">+52 (55) 5264-8891</w:t>
      </w:r>
    </w:p>
    <w:p>
      <w:pPr>
        <w:pStyle w:val="BodyText"/>
      </w:pPr>
      <w:r>
        <w:rPr>
          <w:bCs/>
          <w:b/>
        </w:rPr>
        <w:t xml:space="preserve">Email:</w:t>
      </w:r>
      <w:r>
        <w:t xml:space="preserve"> </w:t>
      </w:r>
      <w:r>
        <w:t xml:space="preserve">lgarcia@garciamendozatorres.mx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Services Rendered</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third-party supplier. The Lawyer reviewed all existing documentation, identified potential breaches under Mexican Federal Commercial Code, and prepared a preliminary legal strategy memorandum for the client's executive board.</w:t>
            </w:r>
          </w:p>
        </w:tc>
        <w:tc>
          <w:tcPr/>
          <w:p>
            <w:pPr>
              <w:pStyle w:val="Compact"/>
              <w:jc w:val="left"/>
            </w:pPr>
            <w:r>
              <w:t xml:space="preserve">May 5, 2025</w:t>
            </w:r>
          </w:p>
        </w:tc>
        <w:tc>
          <w:tcPr/>
          <w:p>
            <w:pPr>
              <w:pStyle w:val="Compact"/>
              <w:jc w:val="left"/>
            </w:pPr>
            <w:r>
              <w:t xml:space="preserve">4.5 hrs</w:t>
            </w:r>
          </w:p>
        </w:tc>
        <w:tc>
          <w:tcPr/>
          <w:p>
            <w:pPr>
              <w:pStyle w:val="Compact"/>
              <w:jc w:val="left"/>
            </w:pPr>
            <w:r>
              <w:t xml:space="preserve">$3,500.00</w:t>
            </w:r>
          </w:p>
        </w:tc>
        <w:tc>
          <w:tcPr/>
          <w:p>
            <w:pPr>
              <w:pStyle w:val="Compact"/>
              <w:jc w:val="left"/>
            </w:pPr>
            <w:r>
              <w:t xml:space="preserve">$15,750.00</w:t>
            </w:r>
          </w:p>
        </w:tc>
      </w:tr>
      <w:tr>
        <w:tc>
          <w:tcPr/>
          <w:p>
            <w:pPr>
              <w:pStyle w:val="Compact"/>
              <w:jc w:val="left"/>
            </w:pPr>
            <w:r>
              <w:t xml:space="preserve">2</w:t>
            </w:r>
          </w:p>
        </w:tc>
        <w:tc>
          <w:tcPr/>
          <w:p>
            <w:pPr>
              <w:pStyle w:val="Compact"/>
              <w:jc w:val="left"/>
            </w:pPr>
            <w:r>
              <w:t xml:space="preserve">Drafting and filing of formal demand letter (carta demanda) before the Commercial Court of Mexico City (Juzgado de lo Mercantil, CDMX). The Lawyer prepared all supporting exhibits, translated foreign-language contracts into Spanish, and ensured compliance with the Mexican Code of Commercial Procedure for service of process.</w:t>
            </w:r>
          </w:p>
        </w:tc>
        <w:tc>
          <w:tcPr/>
          <w:p>
            <w:pPr>
              <w:pStyle w:val="Compact"/>
              <w:jc w:val="left"/>
            </w:pPr>
            <w:r>
              <w:t xml:space="preserve">May 12, 2025</w:t>
            </w:r>
          </w:p>
        </w:tc>
        <w:tc>
          <w:tcPr/>
          <w:p>
            <w:pPr>
              <w:pStyle w:val="Compact"/>
              <w:jc w:val="left"/>
            </w:pPr>
            <w:r>
              <w:t xml:space="preserve">8.0 hrs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Representation of the client at the initial hearing before the Commercial Court in Mexico City. The Lawyer presented oral arguments, cross-examined opposing counsel's witnesses, and filed a motion for provisional injunctive relief to preserve the disputed assets pending final judgment.</w:t>
            </w:r>
          </w:p>
        </w:tc>
        <w:tc>
          <w:tcPr/>
          <w:p>
            <w:pPr>
              <w:pStyle w:val="Compact"/>
              <w:jc w:val="left"/>
            </w:pPr>
            <w:r>
              <w:t xml:space="preserve">May 28, 2025</w:t>
            </w:r>
          </w:p>
        </w:tc>
        <w:tc>
          <w:tcPr/>
          <w:p>
            <w:pPr>
              <w:pStyle w:val="Compact"/>
              <w:jc w:val="left"/>
            </w:pPr>
            <w:r>
              <w:t xml:space="preserve">6.0 hrs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Preparation and submission of the formal complaint (escrito de demanda) with all annexes, power of attorney (poder notarial), and supporting evidence before the Second Commercial Court of Mexico City. The Lawyer coordinated with the court clerk to confirm proper filing and obtained the official case number.</w:t>
            </w:r>
          </w:p>
        </w:tc>
        <w:tc>
          <w:tcPr/>
          <w:p>
            <w:pPr>
              <w:pStyle w:val="Compact"/>
              <w:jc w:val="left"/>
            </w:pPr>
            <w:r>
              <w:t xml:space="preserve">June 2, 2025</w:t>
            </w:r>
          </w:p>
        </w:tc>
        <w:tc>
          <w:tcPr/>
          <w:p>
            <w:pPr>
              <w:pStyle w:val="Compact"/>
              <w:jc w:val="left"/>
            </w:pPr>
            <w:r>
              <w:t xml:space="preserve">10.0 hrs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Legal opinion and risk assessment memorandum regarding potential counterclaims by the opposing party. The Lawyer analyzed applicable provisions of the Mexican Civil Code, the Federal Commercial Code, and relevant jurisprudence from the Supreme Court of Justice of the Nation (Suprema Corte de Justicia de la Nación) to advise the client on settlement viability.</w:t>
            </w:r>
          </w:p>
        </w:tc>
        <w:tc>
          <w:tcPr/>
          <w:p>
            <w:pPr>
              <w:pStyle w:val="Compact"/>
              <w:jc w:val="left"/>
            </w:pPr>
            <w:r>
              <w:t xml:space="preserve">June 8, 2025</w:t>
            </w:r>
          </w:p>
        </w:tc>
        <w:tc>
          <w:tcPr/>
          <w:p>
            <w:pPr>
              <w:pStyle w:val="Compact"/>
              <w:jc w:val="left"/>
            </w:pPr>
            <w:r>
              <w:t xml:space="preserve">5.5 hrs</w:t>
            </w:r>
          </w:p>
        </w:tc>
        <w:tc>
          <w:tcPr/>
          <w:p>
            <w:pPr>
              <w:pStyle w:val="Compact"/>
              <w:jc w:val="left"/>
            </w:pPr>
            <w:r>
              <w:t xml:space="preserve">$3,500.00</w:t>
            </w:r>
          </w:p>
        </w:tc>
        <w:tc>
          <w:tcPr/>
          <w:p>
            <w:pPr>
              <w:pStyle w:val="Compact"/>
              <w:jc w:val="left"/>
            </w:pPr>
            <w:r>
              <w:t xml:space="preserve">$19,250.00</w:t>
            </w:r>
          </w:p>
        </w:tc>
      </w:tr>
      <w:tr>
        <w:tc>
          <w:tcPr/>
          <w:p>
            <w:pPr>
              <w:pStyle w:val="Compact"/>
              <w:jc w:val="left"/>
            </w:pPr>
            <w:r>
              <w:t xml:space="preserve">6</w:t>
            </w:r>
          </w:p>
        </w:tc>
        <w:tc>
          <w:tcPr/>
          <w:p>
            <w:pPr>
              <w:pStyle w:val="Compact"/>
              <w:jc w:val="left"/>
            </w:pPr>
            <w:r>
              <w:t xml:space="preserve">Coordination of mediation session before the National Center for Conciliation and Arbitration (Centro Nacional de Conciliación y Arbitraje) in Mexico City. The Lawyer prepared the client's mediation brief, attended the session, and drafted the proposed settlement terms for client approval.</w:t>
            </w:r>
          </w:p>
        </w:tc>
        <w:tc>
          <w:tcPr/>
          <w:p>
            <w:pPr>
              <w:pStyle w:val="Compact"/>
              <w:jc w:val="left"/>
            </w:pPr>
            <w:r>
              <w:t xml:space="preserve">June 12, 2025</w:t>
            </w:r>
          </w:p>
        </w:tc>
        <w:tc>
          <w:tcPr/>
          <w:p>
            <w:pPr>
              <w:pStyle w:val="Compact"/>
              <w:jc w:val="left"/>
            </w:pPr>
            <w:r>
              <w:t xml:space="preserve">3.0 hrs</w:t>
            </w:r>
          </w:p>
        </w:tc>
        <w:tc>
          <w:tcPr/>
          <w:p>
            <w:pPr>
              <w:pStyle w:val="Compact"/>
              <w:jc w:val="left"/>
            </w:pPr>
            <w:r>
              <w:t xml:space="preserve">$4,000.00</w:t>
            </w:r>
          </w:p>
        </w:tc>
        <w:tc>
          <w:tcPr/>
          <w:p>
            <w:pPr>
              <w:pStyle w:val="Compact"/>
              <w:jc w:val="left"/>
            </w:pPr>
            <w:r>
              <w:t xml:space="preserve">$12,000.00</w:t>
            </w:r>
          </w:p>
        </w:tc>
      </w:tr>
    </w:tbl>
    <w:p>
      <w:pPr>
        <w:pStyle w:val="BodyText"/>
      </w:pPr>
      <w:r>
        <w:t xml:space="preserve">Subtotal (Professional Fees)</w:t>
      </w:r>
      <w:r>
        <w:t xml:space="preserve"> </w:t>
      </w:r>
      <w:r>
        <w:t xml:space="preserve">$134,000.00 MXN</w:t>
      </w:r>
    </w:p>
    <w:p>
      <w:pPr>
        <w:pStyle w:val="BodyText"/>
      </w:pPr>
      <w:r>
        <w:t xml:space="preserve">Value Added Tax (IVA) – 16%</w:t>
      </w:r>
      <w:r>
        <w:t xml:space="preserve"> </w:t>
      </w:r>
      <w:r>
        <w:t xml:space="preserve">$21,440.00 MXN</w:t>
      </w:r>
    </w:p>
    <w:p>
      <w:pPr>
        <w:pStyle w:val="BodyText"/>
      </w:pPr>
      <w:r>
        <w:t xml:space="preserve">Court Filing Fees (reimbursed)</w:t>
      </w:r>
      <w:r>
        <w:t xml:space="preserve"> </w:t>
      </w:r>
      <w:r>
        <w:t xml:space="preserve">$8,750.00 MXN</w:t>
      </w:r>
    </w:p>
    <w:p>
      <w:pPr>
        <w:pStyle w:val="BodyText"/>
      </w:pPr>
      <w:r>
        <w:t xml:space="preserve">Notary and Certification Costs (reimbursed)</w:t>
      </w:r>
      <w:r>
        <w:t xml:space="preserve"> </w:t>
      </w:r>
      <w:r>
        <w:t xml:space="preserve">$3,200.00 MXN</w:t>
      </w:r>
    </w:p>
    <w:p>
      <w:pPr>
        <w:pStyle w:val="BodyText"/>
      </w:pPr>
      <w:r>
        <w:t xml:space="preserve">Travel and Local Transportation – Mexico City</w:t>
      </w:r>
    </w:p>
    <w:p>
      <w:pPr>
        <w:pStyle w:val="BodyText"/>
      </w:pPr>
      <w:r>
        <w:t xml:space="preserve">$1,800.00 MXN</w:t>
      </w:r>
    </w:p>
    <w:p>
      <w:pPr>
        <w:pStyle w:val="BodyText"/>
      </w:pPr>
      <w:r>
        <w:t xml:space="preserve">TOTAL AMOUNT DUE</w:t>
      </w:r>
      <w:r>
        <w:t xml:space="preserve"> </w:t>
      </w:r>
      <w:r>
        <w:t xml:space="preserve">$169,190.00 MXN</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thirty (30) calendar days from the date of this Invoice, i.e., on or before July 15, 2025.</w:t>
      </w:r>
    </w:p>
    <w:p>
      <w:pPr>
        <w:pStyle w:val="BodyText"/>
      </w:pPr>
      <w:r>
        <w:rPr>
          <w:bCs/>
          <w:b/>
        </w:rPr>
        <w:t xml:space="preserve">Payment Method:</w:t>
      </w:r>
      <w:r>
        <w:t xml:space="preserve"> </w:t>
      </w:r>
      <w:r>
        <w:t xml:space="preserve">Bank transfer (transferencia electrónica SPEI) to the account below. Please reference Invoice No. INV-2025-MC-04872 in the transfer description.</w:t>
      </w:r>
    </w:p>
    <w:p>
      <w:pPr>
        <w:pStyle w:val="BodyText"/>
      </w:pPr>
      <w:r>
        <w:rPr>
          <w:bCs/>
          <w:b/>
        </w:rPr>
        <w:t xml:space="preserve">Bank:</w:t>
      </w:r>
      <w:r>
        <w:t xml:space="preserve"> </w:t>
      </w:r>
      <w:r>
        <w:t xml:space="preserve">Banco de México, S.A. – Sucursal 0452, Mexico City</w:t>
      </w:r>
    </w:p>
    <w:p>
      <w:pPr>
        <w:pStyle w:val="BodyText"/>
      </w:pPr>
      <w:r>
        <w:rPr>
          <w:bCs/>
          <w:b/>
        </w:rPr>
        <w:t xml:space="preserve">Account Name:</w:t>
      </w:r>
      <w:r>
        <w:t xml:space="preserve"> </w:t>
      </w:r>
      <w:r>
        <w:t xml:space="preserve">García, Mendoza &amp; Torres, S.C.</w:t>
      </w:r>
    </w:p>
    <w:p>
      <w:pPr>
        <w:pStyle w:val="BodyText"/>
      </w:pPr>
      <w:r>
        <w:rPr>
          <w:bCs/>
          <w:b/>
        </w:rPr>
        <w:t xml:space="preserve">CLABE:</w:t>
      </w:r>
      <w:r>
        <w:t xml:space="preserve"> </w:t>
      </w:r>
      <w:r>
        <w:t xml:space="preserve">012180012345678901</w:t>
      </w:r>
    </w:p>
    <w:p>
      <w:pPr>
        <w:pStyle w:val="BodyText"/>
      </w:pPr>
      <w:r>
        <w:rPr>
          <w:bCs/>
          <w:b/>
        </w:rPr>
        <w:t xml:space="preserve">SWIFT/BIC:</w:t>
      </w:r>
      <w:r>
        <w:t xml:space="preserve"> </w:t>
      </w:r>
      <w:r>
        <w:t xml:space="preserve">BMXM MX MX</w:t>
      </w:r>
    </w:p>
    <w:p>
      <w:pPr>
        <w:pStyle w:val="BodyText"/>
      </w:pPr>
      <w:r>
        <w:rPr>
          <w:bCs/>
          <w:b/>
        </w:rPr>
        <w:t xml:space="preserve">Important:</w:t>
      </w:r>
      <w:r>
        <w:t xml:space="preserve"> </w:t>
      </w:r>
      <w:r>
        <w:t xml:space="preserve">Late payments are subject to a penalty of 1.5% per month as stipulated in the retainer agreement signed on April 20, 2025. This Invoice is issued in accordance with the Mexican Federal Tax Code (Código Fiscal de la Federación) and must be accompanied by a CFDI (Comprobante Fiscal Digital por Internet) for tax deduction purposes.</w:t>
      </w:r>
    </w:p>
    <w:bookmarkEnd w:id="24"/>
    <w:bookmarkStart w:id="25" w:name="notes-legal-disclaimers"/>
    <w:p>
      <w:pPr>
        <w:pStyle w:val="Heading3"/>
      </w:pPr>
      <w:r>
        <w:t xml:space="preserve">Notes &amp; Legal Disclaimers</w:t>
      </w:r>
    </w:p>
    <w:p>
      <w:pPr>
        <w:pStyle w:val="FirstParagraph"/>
      </w:pPr>
      <w:r>
        <w:t xml:space="preserve">This Invoice represents professional legal services rendered by the undersigned Lawyer and associated legal team at García, Mendoza &amp; Torres, S.C., a firm duly registered and operating in Mexico City, Mexico. All services were performed in compliance with the Mexican General Law of the Profession of Lawyers (Ley General de la Profesión de Abogados) and the ethical code of the Mexico City Bar Association.</w:t>
      </w:r>
    </w:p>
    <w:p>
      <w:pPr>
        <w:pStyle w:val="BodyText"/>
      </w:pPr>
      <w:r>
        <w:t xml:space="preserve">The amounts listed above are exclusive of any additional costs that may arise from subsequent court proceedings, expert witness fees, or appellate litigation. Any further legal work will be billed separately via a supplementary Invoice. The client acknowledges that this Invoice does not constitute a guarantee of outcome in the referenced legal matter.</w:t>
      </w:r>
    </w:p>
    <w:p>
      <w:pPr>
        <w:pStyle w:val="BodyText"/>
      </w:pPr>
      <w:r>
        <w:t xml:space="preserve">All communications, filings, and representations were conducted within the jurisdiction of Mexico City (Ciudad de México), Mexico, and are subject to the procedural rules of the local commercial courts. The Lawyer reserves the right to withdraw from representation in accordance with Article 14 of the retainer agreement should payment not be received by the due date.</w:t>
      </w:r>
    </w:p>
    <w:p>
      <w:pPr>
        <w:pStyle w:val="BodyText"/>
      </w:pPr>
      <w:r>
        <w:t xml:space="preserve">This document is valid as a fiscal invoice (factura) for the purposes of the Mexican tax authority (Servicio de Administración Tributaria – SAT). A digital CFDI 4.0 version has been generated and will be delivered electronically to the client's registered email address within five business days of issuance.</w:t>
      </w:r>
    </w:p>
    <w:bookmarkEnd w:id="25"/>
    <w:p>
      <w:pPr>
        <w:pStyle w:val="BodyText"/>
      </w:pPr>
      <w:r>
        <w:rPr>
          <w:bCs/>
          <w:b/>
        </w:rPr>
        <w:t xml:space="preserve">Mtra. Abogada Lucía García Mendoza</w:t>
      </w:r>
    </w:p>
    <w:p>
      <w:pPr>
        <w:pStyle w:val="BodyText"/>
      </w:pPr>
      <w:r>
        <w:t xml:space="preserve">Lead Lawyer / Authorized Signatory</w:t>
      </w:r>
    </w:p>
    <w:p>
      <w:pPr>
        <w:pStyle w:val="BodyText"/>
      </w:pPr>
      <w:r>
        <w:t xml:space="preserve">García, Mendoza &amp; Torres, S.C.</w:t>
      </w:r>
    </w:p>
    <w:p>
      <w:pPr>
        <w:pStyle w:val="BodyText"/>
      </w:pPr>
      <w:r>
        <w:t xml:space="preserve">Mexico City, Mexico</w:t>
      </w:r>
    </w:p>
    <w:p>
      <w:pPr>
        <w:pStyle w:val="BodyText"/>
      </w:pPr>
      <w:r>
        <w:rPr>
          <w:bCs/>
          <w:b/>
        </w:rPr>
        <w:t xml:space="preserve">Lic. Roberto Hernández Salazar</w:t>
      </w:r>
    </w:p>
    <w:p>
      <w:pPr>
        <w:pStyle w:val="BodyText"/>
      </w:pPr>
      <w:r>
        <w:t xml:space="preserve">Authorized Representative</w:t>
      </w:r>
    </w:p>
    <w:p>
      <w:pPr>
        <w:pStyle w:val="BodyText"/>
      </w:pPr>
      <w:r>
        <w:t xml:space="preserve">Grupo Industrial del Valle, S.A. de C.V.</w:t>
      </w:r>
    </w:p>
    <w:p>
      <w:pPr>
        <w:pStyle w:val="BodyText"/>
      </w:pPr>
      <w:r>
        <w:t xml:space="preserve">Mexico City, Mexico</w:t>
      </w:r>
    </w:p>
    <w:p>
      <w:pPr>
        <w:pStyle w:val="BodyText"/>
      </w:pPr>
      <w:r>
        <w:rPr>
          <w:bCs/>
          <w:b/>
        </w:rPr>
        <w:t xml:space="preserve">García, Mendoza &amp; Torres, S.C.</w:t>
      </w:r>
      <w:r>
        <w:t xml:space="preserve"> </w:t>
      </w:r>
      <w:r>
        <w:t xml:space="preserve">– Licensed Lawyer Firm | Mexico City, Mexico</w:t>
      </w:r>
    </w:p>
    <w:p>
      <w:pPr>
        <w:pStyle w:val="BodyText"/>
      </w:pPr>
      <w:r>
        <w:t xml:space="preserve">Av. Paseo de la Reforma 505, Piso 12, Col. Cuauhtémoc, Mexico, Mexico City 06600</w:t>
      </w:r>
    </w:p>
    <w:p>
      <w:pPr>
        <w:pStyle w:val="BodyText"/>
      </w:pPr>
      <w:r>
        <w:t xml:space="preserve">Registered with the Mexico City Bar Association | SAT RFC: GMT080512AB1</w:t>
      </w:r>
    </w:p>
    <w:p>
      <w:pPr>
        <w:pStyle w:val="BodyText"/>
      </w:pPr>
      <w:r>
        <w:t xml:space="preserve">This Invoice is issued under the legal framework of the United Mexican States, specifically the jurisdiction of Mexico City (Ciudad de México).</w:t>
      </w:r>
    </w:p>
    <w:p>
      <w:pPr>
        <w:pStyle w:val="BodyText"/>
      </w:pPr>
      <w:r>
        <w:t xml:space="preserve">For inquiries regarding this Invoice, please contact our billing department at billing@garciamendozatorres.mx or +52 (55) 5264-8890, Monday through Friday, 9:00 AM – 6:00 PM (Mexico City time, GMT-6).</w:t>
      </w:r>
    </w:p>
    <w:p>
      <w:pPr>
        <w:pStyle w:val="BodyText"/>
      </w:pPr>
      <w:r>
        <w:t xml:space="preserve">Document generated on June 15, 2025 | Invoice INV-2025-MC-04872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Mexico City</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