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Lawyer</w:t>
      </w:r>
      <w:r>
        <w:t xml:space="preserve"> </w:t>
      </w:r>
      <w:r>
        <w:t xml:space="preserve">-</w:t>
      </w:r>
      <w:r>
        <w:t xml:space="preserve"> </w:t>
      </w:r>
      <w:r>
        <w:t xml:space="preserve">Morocco</w:t>
      </w:r>
      <w:r>
        <w:t xml:space="preserve"> </w:t>
      </w:r>
      <w:r>
        <w:t xml:space="preserve">Casablanca</w:t>
      </w:r>
    </w:p>
    <w:bookmarkStart w:id="20" w:name="invoice"/>
    <w:p>
      <w:pPr>
        <w:pStyle w:val="Heading1"/>
      </w:pPr>
      <w:r>
        <w:t xml:space="preserve">INVOICE</w:t>
      </w:r>
    </w:p>
    <w:p>
      <w:pPr>
        <w:pStyle w:val="FirstParagraph"/>
      </w:pPr>
      <w:r>
        <w:t xml:space="preserve">Professional Legal Services — Attorney at Law</w:t>
      </w:r>
    </w:p>
    <w:p>
      <w:pPr>
        <w:pStyle w:val="BodyText"/>
      </w:pPr>
      <w:r>
        <w:t xml:space="preserve">Barreau de Casablanca — Morocco</w:t>
      </w:r>
    </w:p>
    <w:bookmarkEnd w:id="20"/>
    <w:bookmarkStart w:id="21" w:name="lawyer-firm-details"/>
    <w:p>
      <w:pPr>
        <w:pStyle w:val="Heading3"/>
      </w:pPr>
      <w:r>
        <w:t xml:space="preserve">Lawyer / Firm Details</w:t>
      </w:r>
    </w:p>
    <w:p>
      <w:pPr>
        <w:pStyle w:val="FirstParagraph"/>
      </w:pPr>
      <w:r>
        <w:rPr>
          <w:bCs/>
          <w:b/>
        </w:rPr>
        <w:t xml:space="preserve">Me. Hassan El Amrani</w:t>
      </w:r>
    </w:p>
    <w:p>
      <w:pPr>
        <w:pStyle w:val="BodyText"/>
      </w:pPr>
      <w:r>
        <w:t xml:space="preserve">Attorney at Law — Barreau de Casablanca</w:t>
      </w:r>
    </w:p>
    <w:p>
      <w:pPr>
        <w:pStyle w:val="BodyText"/>
      </w:pPr>
      <w:r>
        <w:t xml:space="preserve">12, Boulevard Mohammed V, 4ème étage</w:t>
      </w:r>
    </w:p>
    <w:p>
      <w:pPr>
        <w:pStyle w:val="BodyText"/>
      </w:pPr>
      <w:r>
        <w:t xml:space="preserve">Casablanca 20250, Morocco</w:t>
      </w:r>
    </w:p>
    <w:p>
      <w:pPr>
        <w:pStyle w:val="BodyText"/>
      </w:pPr>
      <w:r>
        <w:t xml:space="preserve">Tel: +212 5 22 23 45 67</w:t>
      </w:r>
    </w:p>
    <w:p>
      <w:pPr>
        <w:pStyle w:val="BodyText"/>
      </w:pPr>
      <w:r>
        <w:t xml:space="preserve">Email: h.elamrani@avocat-casa.ma</w:t>
      </w:r>
    </w:p>
    <w:p>
      <w:pPr>
        <w:pStyle w:val="BodyText"/>
      </w:pPr>
      <w:r>
        <w:t xml:space="preserve">ICE: 002345678000091</w:t>
      </w:r>
    </w:p>
    <w:p>
      <w:pPr>
        <w:pStyle w:val="BodyText"/>
      </w:pPr>
      <w:r>
        <w:t xml:space="preserve">IF: 40567890</w:t>
      </w:r>
    </w:p>
    <w:bookmarkEnd w:id="21"/>
    <w:bookmarkStart w:id="22" w:name="client-details"/>
    <w:p>
      <w:pPr>
        <w:pStyle w:val="Heading3"/>
      </w:pPr>
      <w:r>
        <w:t xml:space="preserve">Client Details</w:t>
      </w:r>
    </w:p>
    <w:p>
      <w:pPr>
        <w:pStyle w:val="FirstParagraph"/>
      </w:pPr>
      <w:r>
        <w:rPr>
          <w:bCs/>
          <w:b/>
        </w:rPr>
        <w:t xml:space="preserve">Atlas Industries S.A.</w:t>
      </w:r>
    </w:p>
    <w:p>
      <w:pPr>
        <w:pStyle w:val="BodyText"/>
      </w:pPr>
      <w:r>
        <w:t xml:space="preserve">Represented by: Mr. Youssef Benali, CEO</w:t>
      </w:r>
    </w:p>
    <w:p>
      <w:pPr>
        <w:pStyle w:val="BodyText"/>
      </w:pPr>
      <w:r>
        <w:t xml:space="preserve">45, Avenue Hassan II</w:t>
      </w:r>
    </w:p>
    <w:p>
      <w:pPr>
        <w:pStyle w:val="BodyText"/>
      </w:pPr>
      <w:r>
        <w:t xml:space="preserve">Casablanca 20100, Morocco</w:t>
      </w:r>
    </w:p>
    <w:p>
      <w:pPr>
        <w:pStyle w:val="BodyText"/>
      </w:pPr>
      <w:r>
        <w:t xml:space="preserve">Tel: +212 5 22 98 76 54</w:t>
      </w:r>
    </w:p>
    <w:p>
      <w:pPr>
        <w:pStyle w:val="BodyText"/>
      </w:pPr>
      <w:r>
        <w:t xml:space="preserve">Email: legal@atlas-industries.ma</w:t>
      </w:r>
    </w:p>
    <w:p>
      <w:pPr>
        <w:pStyle w:val="BodyText"/>
      </w:pPr>
      <w:r>
        <w:t xml:space="preserve">ICE: 001234567000045</w:t>
      </w:r>
    </w:p>
    <w:bookmarkEnd w:id="22"/>
    <w:bookmarkStart w:id="23" w:name="invoice-number"/>
    <w:p>
      <w:pPr>
        <w:pStyle w:val="Heading4"/>
      </w:pPr>
      <w:r>
        <w:t xml:space="preserve">Invoice Number</w:t>
      </w:r>
    </w:p>
    <w:p>
      <w:pPr>
        <w:pStyle w:val="FirstParagraph"/>
      </w:pPr>
      <w:r>
        <w:t xml:space="preserve">INV-2025-0047</w:t>
      </w:r>
    </w:p>
    <w:bookmarkEnd w:id="23"/>
    <w:bookmarkStart w:id="24" w:name="date-of-issue"/>
    <w:p>
      <w:pPr>
        <w:pStyle w:val="Heading4"/>
      </w:pPr>
      <w:r>
        <w:t xml:space="preserve">Date of Issue</w:t>
      </w:r>
    </w:p>
    <w:p>
      <w:pPr>
        <w:pStyle w:val="FirstParagraph"/>
      </w:pPr>
      <w:r>
        <w:t xml:space="preserve">15 June 2025</w:t>
      </w:r>
    </w:p>
    <w:bookmarkEnd w:id="24"/>
    <w:bookmarkStart w:id="25" w:name="due-date"/>
    <w:p>
      <w:pPr>
        <w:pStyle w:val="Heading4"/>
      </w:pPr>
      <w:r>
        <w:t xml:space="preserve">Due Date</w:t>
      </w:r>
    </w:p>
    <w:p>
      <w:pPr>
        <w:pStyle w:val="FirstParagraph"/>
      </w:pPr>
      <w:r>
        <w:t xml:space="preserve">15 July 2025</w:t>
      </w:r>
    </w:p>
    <w:bookmarkEnd w:id="25"/>
    <w:bookmarkStart w:id="26" w:name="reference-case-no."/>
    <w:p>
      <w:pPr>
        <w:pStyle w:val="Heading4"/>
      </w:pPr>
      <w:r>
        <w:t xml:space="preserve">Reference / Case No.</w:t>
      </w:r>
    </w:p>
    <w:p>
      <w:pPr>
        <w:pStyle w:val="FirstParagraph"/>
      </w:pPr>
      <w:r>
        <w:t xml:space="preserve">RC-CASA-2025-0312</w:t>
      </w:r>
    </w:p>
    <w:bookmarkEnd w:id="26"/>
    <w:bookmarkStart w:id="27" w:name="currency"/>
    <w:p>
      <w:pPr>
        <w:pStyle w:val="Heading4"/>
      </w:pPr>
      <w:r>
        <w:t xml:space="preserve">Currency</w:t>
      </w:r>
    </w:p>
    <w:p>
      <w:pPr>
        <w:pStyle w:val="FirstParagraph"/>
      </w:pPr>
      <w:r>
        <w:t xml:space="preserve">MAD (Dirham)</w:t>
      </w:r>
    </w:p>
    <w:bookmarkEnd w:id="27"/>
    <w:bookmarkStart w:id="30" w:name="X0b25b31d720b1c39146bdfeab7a54df653e85de"/>
    <w:p>
      <w:pPr>
        <w:pStyle w:val="Heading2"/>
      </w:pPr>
      <w:r>
        <w:t xml:space="preserve">Description of Legal Services Rendered by the Lawyer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 / Date</w:t>
            </w:r>
          </w:p>
        </w:tc>
        <w:tc>
          <w:tcPr/>
          <w:p>
            <w:pPr>
              <w:pStyle w:val="Compact"/>
              <w:jc w:val="left"/>
            </w:pPr>
            <w:r>
              <w:t xml:space="preserve">Hours</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Initial legal consultation and case assessment regarding commercial contract dispute with third-party supplier. The Lawyer reviewed all existing agreements, correspondence, and supporting documentation to determine the legal position of the client under Moroccan commercial law (Code de Commerce).</w:t>
            </w:r>
          </w:p>
        </w:tc>
        <w:tc>
          <w:tcPr/>
          <w:p>
            <w:pPr>
              <w:pStyle w:val="Compact"/>
              <w:jc w:val="left"/>
            </w:pPr>
            <w:r>
              <w:t xml:space="preserve">03 Mar 2025</w:t>
            </w:r>
          </w:p>
        </w:tc>
        <w:tc>
          <w:tcPr/>
          <w:p>
            <w:pPr>
              <w:pStyle w:val="Compact"/>
              <w:jc w:val="left"/>
            </w:pPr>
            <w:r>
              <w:t xml:space="preserve">3.5</w:t>
            </w:r>
          </w:p>
        </w:tc>
        <w:tc>
          <w:tcPr/>
          <w:p>
            <w:pPr>
              <w:pStyle w:val="Compact"/>
              <w:jc w:val="left"/>
            </w:pPr>
            <w:r>
              <w:t xml:space="preserve">1,500.00</w:t>
            </w:r>
          </w:p>
        </w:tc>
        <w:tc>
          <w:tcPr/>
          <w:p>
            <w:pPr>
              <w:pStyle w:val="Compact"/>
              <w:jc w:val="left"/>
            </w:pPr>
            <w:r>
              <w:t xml:space="preserve">5,250.00</w:t>
            </w:r>
          </w:p>
        </w:tc>
      </w:tr>
      <w:tr>
        <w:tc>
          <w:tcPr/>
          <w:p>
            <w:pPr>
              <w:pStyle w:val="Compact"/>
              <w:jc w:val="left"/>
            </w:pPr>
            <w:r>
              <w:t xml:space="preserve">2</w:t>
            </w:r>
          </w:p>
        </w:tc>
        <w:tc>
          <w:tcPr/>
          <w:p>
            <w:pPr>
              <w:pStyle w:val="Compact"/>
              <w:jc w:val="left"/>
            </w:pPr>
            <w:r>
              <w:t xml:space="preserve">Drafting and filing of a formal legal notice (mise en demeure) to the opposing party, requesting payment of outstanding invoices totaling 2,400,000 MAD within fifteen (15) days, in accordance with Articles 340 and 341 of the Moroccan Code of Obligations and Contracts (Code des Obligations et des Contrats).</w:t>
            </w:r>
          </w:p>
        </w:tc>
        <w:tc>
          <w:tcPr/>
          <w:p>
            <w:pPr>
              <w:pStyle w:val="Compact"/>
              <w:jc w:val="left"/>
            </w:pPr>
            <w:r>
              <w:t xml:space="preserve">10 Mar 2025</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Preparation and submission of a comprehensive statement of claim (réquisition introductive d'instance) before the Tribunal de Commerce de Casablanca. The Lawyer structured the legal arguments, compiled all evidentiary exhibits, and ensured full compliance with the Moroccan Code of Civil Procedure (Code de Procédure Civile et Commerciale).</w:t>
            </w:r>
          </w:p>
        </w:tc>
        <w:tc>
          <w:tcPr/>
          <w:p>
            <w:pPr>
              <w:pStyle w:val="Compact"/>
              <w:jc w:val="left"/>
            </w:pPr>
            <w:r>
              <w:t xml:space="preserve">25 Mar 2025</w:t>
            </w:r>
          </w:p>
        </w:tc>
        <w:tc>
          <w:tcPr/>
          <w:p>
            <w:pPr>
              <w:pStyle w:val="Compact"/>
              <w:jc w:val="left"/>
            </w:pPr>
            <w:r>
              <w:t xml:space="preserve">8.0</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Representation of the client at the first hearing before the Tribunal de Commerce de Casablanca, including oral argumentation, cross-examination of the opposing party's witnesses, and submission of supplementary legal memoranda. The Lawyer advocated for the client's position regarding breach of contract and consequential damages.</w:t>
            </w:r>
          </w:p>
        </w:tc>
        <w:tc>
          <w:tcPr/>
          <w:p>
            <w:pPr>
              <w:pStyle w:val="Compact"/>
              <w:jc w:val="left"/>
            </w:pPr>
            <w:r>
              <w:t xml:space="preserve">14 Apr 2025</w:t>
            </w:r>
          </w:p>
        </w:tc>
        <w:tc>
          <w:tcPr/>
          <w:p>
            <w:pPr>
              <w:pStyle w:val="Compact"/>
              <w:jc w:val="left"/>
            </w:pPr>
            <w:r>
              <w:t xml:space="preserve">6.0</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Drafting of a settlement proposal and negotiation of terms with the opposing party's legal counsel. The Lawyer conducted three (3) negotiation sessions in Casablanca and prepared a final settlement agreement for client review, incorporating mutual release clauses and a structured payment schedule.</w:t>
            </w:r>
          </w:p>
        </w:tc>
        <w:tc>
          <w:tcPr/>
          <w:p>
            <w:pPr>
              <w:pStyle w:val="Compact"/>
              <w:jc w:val="left"/>
            </w:pPr>
            <w:r>
              <w:t xml:space="preserve">02 May 2025</w:t>
            </w:r>
          </w:p>
        </w:tc>
        <w:tc>
          <w:tcPr/>
          <w:p>
            <w:pPr>
              <w:pStyle w:val="Compact"/>
              <w:jc w:val="left"/>
            </w:pPr>
            <w:r>
              <w:t xml:space="preserve">7.5</w:t>
            </w:r>
          </w:p>
        </w:tc>
        <w:tc>
          <w:tcPr/>
          <w:p>
            <w:pPr>
              <w:pStyle w:val="Compact"/>
              <w:jc w:val="left"/>
            </w:pPr>
            <w:r>
              <w:t xml:space="preserve">1,500.00</w:t>
            </w:r>
          </w:p>
        </w:tc>
        <w:tc>
          <w:tcPr/>
          <w:p>
            <w:pPr>
              <w:pStyle w:val="Compact"/>
              <w:jc w:val="left"/>
            </w:pPr>
            <w:r>
              <w:t xml:space="preserve">11,250.00</w:t>
            </w:r>
          </w:p>
        </w:tc>
      </w:tr>
      <w:tr>
        <w:tc>
          <w:tcPr/>
          <w:p>
            <w:pPr>
              <w:pStyle w:val="Compact"/>
              <w:jc w:val="left"/>
            </w:pPr>
            <w:r>
              <w:t xml:space="preserve">6</w:t>
            </w:r>
          </w:p>
        </w:tc>
        <w:tc>
          <w:tcPr/>
          <w:p>
            <w:pPr>
              <w:pStyle w:val="Compact"/>
              <w:jc w:val="left"/>
            </w:pPr>
            <w:r>
              <w:t xml:space="preserve">Finalization, notarization, and registration of the settlement agreement before the competent notary in Casablanca. The Lawyer ensured the document met all formal requirements under Moroccan law, including stamp duty payment and filing with the Tribunal de Commerce de Casablanca for enforceability.</w:t>
            </w:r>
          </w:p>
        </w:tc>
        <w:tc>
          <w:tcPr/>
          <w:p>
            <w:pPr>
              <w:pStyle w:val="Compact"/>
              <w:jc w:val="left"/>
            </w:pPr>
            <w:r>
              <w:t xml:space="preserve">20 May 2025</w:t>
            </w:r>
          </w:p>
        </w:tc>
        <w:tc>
          <w:tcPr/>
          <w:p>
            <w:pPr>
              <w:pStyle w:val="Compact"/>
              <w:jc w:val="left"/>
            </w:pPr>
            <w:r>
              <w:t xml:space="preserve">3.0</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Post-settlement compliance monitoring and advisory. The Lawyer provided ongoing guidance to the client regarding the execution of the settlement terms, reviewed the first installment payment, and issued a written legal opinion confirming full compliance with the agreed obligations.</w:t>
            </w:r>
          </w:p>
        </w:tc>
        <w:tc>
          <w:tcPr/>
          <w:p>
            <w:pPr>
              <w:pStyle w:val="Compact"/>
              <w:jc w:val="left"/>
            </w:pPr>
            <w:r>
              <w:t xml:space="preserve">01 Jun 2025</w:t>
            </w:r>
          </w:p>
        </w:tc>
        <w:tc>
          <w:tcPr/>
          <w:p>
            <w:pPr>
              <w:pStyle w:val="Compact"/>
              <w:jc w:val="left"/>
            </w:pPr>
            <w:r>
              <w:t xml:space="preserve">2.5</w:t>
            </w:r>
          </w:p>
        </w:tc>
        <w:tc>
          <w:tcPr/>
          <w:p>
            <w:pPr>
              <w:pStyle w:val="Compact"/>
              <w:jc w:val="left"/>
            </w:pPr>
            <w:r>
              <w:t xml:space="preserve">1,500.00</w:t>
            </w:r>
          </w:p>
        </w:tc>
        <w:tc>
          <w:tcPr/>
          <w:p>
            <w:pPr>
              <w:pStyle w:val="Compact"/>
              <w:jc w:val="left"/>
            </w:pPr>
            <w:r>
              <w:t xml:space="preserve">3,750.00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51,750.00 MAD</w:t>
            </w:r>
          </w:p>
        </w:tc>
      </w:tr>
      <w:tr>
        <w:tc>
          <w:tcPr/>
          <w:p>
            <w:pPr>
              <w:pStyle w:val="Compact"/>
              <w:jc w:val="left"/>
            </w:pPr>
            <w:r>
              <w:t xml:space="preserve">Court Filing Fees &amp; Registration</w:t>
            </w:r>
          </w:p>
        </w:tc>
        <w:tc>
          <w:tcPr/>
          <w:p>
            <w:pPr>
              <w:pStyle w:val="Compact"/>
              <w:jc w:val="right"/>
            </w:pPr>
            <w:r>
              <w:t xml:space="preserve">3,200.00 MAD</w:t>
            </w:r>
          </w:p>
        </w:tc>
      </w:tr>
      <w:tr>
        <w:tc>
          <w:tcPr/>
          <w:p>
            <w:pPr>
              <w:pStyle w:val="Compact"/>
              <w:jc w:val="left"/>
            </w:pPr>
            <w:r>
              <w:t xml:space="preserve">Notary Fees &amp; Stamp Duty</w:t>
            </w:r>
          </w:p>
        </w:tc>
        <w:tc>
          <w:tcPr/>
          <w:p>
            <w:pPr>
              <w:pStyle w:val="Compact"/>
              <w:jc w:val="right"/>
            </w:pPr>
            <w:r>
              <w:t xml:space="preserve">1,850.00 MAD</w:t>
            </w:r>
          </w:p>
        </w:tc>
      </w:tr>
      <w:tr>
        <w:tc>
          <w:tcPr/>
          <w:p>
            <w:pPr>
              <w:pStyle w:val="Compact"/>
              <w:jc w:val="left"/>
            </w:pPr>
            <w:r>
              <w:t xml:space="preserve">Travel &amp; Administrative Expenses</w:t>
            </w:r>
          </w:p>
        </w:tc>
        <w:tc>
          <w:tcPr/>
          <w:p>
            <w:pPr>
              <w:pStyle w:val="Compact"/>
              <w:jc w:val="right"/>
            </w:pPr>
            <w:r>
              <w:t xml:space="preserve">650.00 MAD</w:t>
            </w:r>
          </w:p>
        </w:tc>
      </w:tr>
      <w:tr>
        <w:tc>
          <w:tcPr/>
          <w:p>
            <w:pPr>
              <w:pStyle w:val="Compact"/>
              <w:jc w:val="left"/>
            </w:pPr>
            <w:r>
              <w:t xml:space="preserve">VAT (20%)</w:t>
            </w:r>
          </w:p>
        </w:tc>
        <w:tc>
          <w:tcPr/>
          <w:p>
            <w:pPr>
              <w:pStyle w:val="Compact"/>
              <w:jc w:val="right"/>
            </w:pPr>
            <w:r>
              <w:t xml:space="preserve">11,720.00 MAD</w:t>
            </w:r>
          </w:p>
        </w:tc>
      </w:tr>
      <w:tr>
        <w:tc>
          <w:tcPr/>
          <w:p>
            <w:pPr>
              <w:pStyle w:val="Compact"/>
              <w:jc w:val="left"/>
            </w:pPr>
            <w:r>
              <w:t xml:space="preserve">GRAND TOTAL DUE</w:t>
            </w:r>
          </w:p>
        </w:tc>
        <w:tc>
          <w:tcPr/>
          <w:p>
            <w:pPr>
              <w:pStyle w:val="Compact"/>
              <w:jc w:val="right"/>
            </w:pPr>
            <w:r>
              <w:t xml:space="preserve">69,170.00 MAD</w:t>
            </w:r>
          </w:p>
        </w:tc>
      </w:tr>
    </w:tbl>
    <w:bookmarkStart w:id="28" w:name="payment-terms-invoice-notes"/>
    <w:p>
      <w:pPr>
        <w:pStyle w:val="Heading3"/>
      </w:pPr>
      <w:r>
        <w:t xml:space="preserve">Payment Terms &amp; Invoice Notes</w:t>
      </w:r>
    </w:p>
    <w:p>
      <w:pPr>
        <w:numPr>
          <w:ilvl w:val="0"/>
          <w:numId w:val="1001"/>
        </w:numPr>
        <w:pStyle w:val="Compact"/>
      </w:pPr>
      <w:r>
        <w:t xml:space="preserve">This Invoice must be settled in full within thirty (30) days of the date of issue, no later than 15 July 2025.</w:t>
      </w:r>
    </w:p>
    <w:p>
      <w:pPr>
        <w:numPr>
          <w:ilvl w:val="0"/>
          <w:numId w:val="1001"/>
        </w:numPr>
        <w:pStyle w:val="Compact"/>
      </w:pPr>
      <w:r>
        <w:t xml:space="preserve">Payment shall be made via bank transfer to the Lawyer's designated account at Bank of Africa (BMCE Bank), Casablanca branch. RIB: 007 660 0000123456789 01.</w:t>
      </w:r>
    </w:p>
    <w:p>
      <w:pPr>
        <w:numPr>
          <w:ilvl w:val="0"/>
          <w:numId w:val="1001"/>
        </w:numPr>
        <w:pStyle w:val="Compact"/>
      </w:pPr>
      <w:r>
        <w:t xml:space="preserve">Any amount remaining unpaid after the due date shall accrue a late payment interest at the rate of 1.5% per month, in accordance with Article 340-1 of the Moroccan Code of Obligations and Contracts.</w:t>
      </w:r>
    </w:p>
    <w:p>
      <w:pPr>
        <w:numPr>
          <w:ilvl w:val="0"/>
          <w:numId w:val="1001"/>
        </w:numPr>
        <w:pStyle w:val="Compact"/>
      </w:pPr>
      <w:r>
        <w:t xml:space="preserve">This Invoice is issued in accordance with the professional regulations of the Barreau de Casablanca and the applicable Moroccan tax legislation (Code Général des Impôts).</w:t>
      </w:r>
    </w:p>
    <w:p>
      <w:pPr>
        <w:numPr>
          <w:ilvl w:val="0"/>
          <w:numId w:val="1001"/>
        </w:numPr>
        <w:pStyle w:val="Compact"/>
      </w:pPr>
      <w:r>
        <w:t xml:space="preserve">Retain this Invoice for your accounting records. A duplicate may be requested from the Lawyer's office in Casablanca within ninety (90) days.</w:t>
      </w:r>
    </w:p>
    <w:bookmarkEnd w:id="28"/>
    <w:bookmarkStart w:id="29" w:name="legal-notice-professional-disclaimer"/>
    <w:p>
      <w:pPr>
        <w:pStyle w:val="Heading3"/>
      </w:pPr>
      <w:r>
        <w:t xml:space="preserve">Legal Notice &amp; Professional Disclaimer</w:t>
      </w:r>
    </w:p>
    <w:p>
      <w:pPr>
        <w:pStyle w:val="FirstParagraph"/>
      </w:pPr>
      <w:r>
        <w:t xml:space="preserve">This Invoice constitutes a formal request for payment for professional legal services rendered by the undersigned Lawyer, Me. Hassan El Amrani, a member in good standing of the Barreau de Casablanca, Morocco. The services described herein were performed in strict compliance with the Moroccan Law on the Legal Profession (Loi n° 64-17 relative à la profession d'avocat) and the ethical code governing attorneys practicing in Casablanca.</w:t>
      </w:r>
    </w:p>
    <w:p>
      <w:pPr>
        <w:pStyle w:val="BodyText"/>
      </w:pPr>
      <w:r>
        <w:t xml:space="preserve">The amounts listed in this Invoice reflect the agreed-upon professional fee schedule established at the inception of the engagement. All court fees, notary costs, and administrative expenses are itemized separately and are reimbursable at actual cost. The Lawyer reserves the right to issue a supplementary Invoice should additional services be required beyond the scope originally defined in the engagement letter dated 28 February 2025.</w:t>
      </w:r>
    </w:p>
    <w:p>
      <w:pPr>
        <w:pStyle w:val="BodyText"/>
      </w:pPr>
      <w:r>
        <w:t xml:space="preserve">This document is governed by the laws of the Kingdom of Morocco. Any dispute arising from this Invoice or the services rendered shall be subject to the exclusive jurisdiction of the competent courts of Casablanca, Morocco.</w:t>
      </w:r>
    </w:p>
    <w:bookmarkEnd w:id="29"/>
    <w:p>
      <w:pPr>
        <w:pStyle w:val="BodyText"/>
      </w:pPr>
      <w:r>
        <w:rPr>
          <w:bCs/>
          <w:b/>
        </w:rPr>
        <w:t xml:space="preserve">Issued by (The Lawyer):</w:t>
      </w:r>
    </w:p>
    <w:p>
      <w:pPr>
        <w:pStyle w:val="BodyText"/>
      </w:pPr>
      <w:r>
        <w:t xml:space="preserve">Me. Hassan El Amrani</w:t>
      </w:r>
      <w:r>
        <w:br/>
      </w:r>
      <w:r>
        <w:t xml:space="preserve">Attorney at Law — Barreau de Casablanca</w:t>
      </w:r>
    </w:p>
    <w:p>
      <w:pPr>
        <w:pStyle w:val="BodyText"/>
      </w:pPr>
      <w:r>
        <w:rPr>
          <w:bCs/>
          <w:b/>
        </w:rPr>
        <w:t xml:space="preserve">Received by (The Client):</w:t>
      </w:r>
    </w:p>
    <w:p>
      <w:pPr>
        <w:pStyle w:val="BodyText"/>
      </w:pPr>
      <w:r>
        <w:t xml:space="preserve">Mr. Youssef Benali</w:t>
      </w:r>
      <w:r>
        <w:br/>
      </w:r>
      <w:r>
        <w:t xml:space="preserve">CEO, Atlas Industries S.A.</w:t>
      </w:r>
    </w:p>
    <w:p>
      <w:pPr>
        <w:pStyle w:val="BodyText"/>
      </w:pPr>
      <w:r>
        <w:t xml:space="preserve">Invoice INV-2025-0047 — Issued by Me. Hassan El Amrani, Lawyer, Casablanca, Morocco — 15 June 2025</w:t>
      </w:r>
    </w:p>
    <w:p>
      <w:pPr>
        <w:pStyle w:val="BodyText"/>
      </w:pPr>
      <w:r>
        <w:t xml:space="preserve">This Invoice is a legally binding document under Moroccan law. For queries, contact the Lawyer's office at 12, Boulevard Mohammed V, Casablanca 20250, Morocco.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Lawyer - Morocco Casablanca</dc:title>
  <dc:creator/>
  <dc:language>en</dc:language>
  <cp:keywords/>
  <dcterms:created xsi:type="dcterms:W3CDTF">2026-10-10T10:20:39Z</dcterms:created>
  <dcterms:modified xsi:type="dcterms:W3CDTF">2026-10-10T10:20:39Z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