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Amsterdam,</w:t>
      </w:r>
      <w:r>
        <w:t xml:space="preserve"> </w:t>
      </w:r>
      <w:r>
        <w:t xml:space="preserve">Netherlands</w:t>
      </w:r>
    </w:p>
    <w:p>
      <w:pPr>
        <w:pStyle w:val="FirstParagraph"/>
      </w:pPr>
      <w:r>
        <w:t xml:space="preserve">De Vries &amp; Bakker Advocaten</w:t>
      </w:r>
    </w:p>
    <w:p>
      <w:pPr>
        <w:pStyle w:val="BodyText"/>
      </w:pPr>
      <w:r>
        <w:t xml:space="preserve">Licensed Lawyer &amp; Legal Counsel Firm</w:t>
      </w:r>
    </w:p>
    <w:p>
      <w:pPr>
        <w:pStyle w:val="BodyText"/>
      </w:pPr>
      <w:r>
        <w:t xml:space="preserve">Keizersgracht 412, 1016 GC Amsterdam, Netherlands</w:t>
      </w:r>
    </w:p>
    <w:p>
      <w:pPr>
        <w:pStyle w:val="BodyText"/>
      </w:pPr>
      <w:r>
        <w:t xml:space="preserve">Tel: +31 (0)20 555 0142 | Email: billing@devriesbakker.nl</w:t>
      </w:r>
    </w:p>
    <w:p>
      <w:pPr>
        <w:pStyle w:val="BodyText"/>
      </w:pPr>
      <w:r>
        <w:t xml:space="preserve">KvK: 34567890 | VAT: NL854321987B01</w:t>
      </w:r>
    </w:p>
    <w:p>
      <w:pPr>
        <w:pStyle w:val="BodyText"/>
      </w:pPr>
      <w:r>
        <w:t xml:space="preserve">INVOICE</w:t>
      </w:r>
    </w:p>
    <w:p>
      <w:pPr>
        <w:pStyle w:val="BodyText"/>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Reference:</w:t>
      </w:r>
      <w:r>
        <w:t xml:space="preserve"> </w:t>
      </w:r>
      <w:r>
        <w:t xml:space="preserve">Case File NL-AM-2025-0312</w:t>
      </w:r>
    </w:p>
    <w:bookmarkStart w:id="20" w:name="billed-to-client"/>
    <w:p>
      <w:pPr>
        <w:pStyle w:val="Heading3"/>
      </w:pPr>
      <w:r>
        <w:t xml:space="preserve">Billed To (Client)</w:t>
      </w:r>
    </w:p>
    <w:p>
      <w:pPr>
        <w:pStyle w:val="FirstParagraph"/>
      </w:pPr>
      <w:r>
        <w:rPr>
          <w:bCs/>
          <w:b/>
        </w:rPr>
        <w:t xml:space="preserve">Mr. Hendrik van der Berg</w:t>
      </w:r>
    </w:p>
    <w:p>
      <w:pPr>
        <w:pStyle w:val="BodyText"/>
      </w:pPr>
      <w:r>
        <w:t xml:space="preserve">Van der Berg Holdings B.V.</w:t>
      </w:r>
    </w:p>
    <w:p>
      <w:pPr>
        <w:pStyle w:val="BodyText"/>
      </w:pPr>
      <w:r>
        <w:t xml:space="preserve">Herengracht 287</w:t>
      </w:r>
    </w:p>
    <w:p>
      <w:pPr>
        <w:pStyle w:val="BodyText"/>
      </w:pPr>
      <w:r>
        <w:t xml:space="preserve">1017 CM Amsterdam, Netherlands</w:t>
      </w:r>
    </w:p>
    <w:p>
      <w:pPr>
        <w:pStyle w:val="BodyText"/>
      </w:pPr>
      <w:r>
        <w:t xml:space="preserve">KvK: 29876543</w:t>
      </w:r>
    </w:p>
    <w:p>
      <w:pPr>
        <w:pStyle w:val="BodyText"/>
      </w:pPr>
      <w:r>
        <w:t xml:space="preserve">VAT: NL861234567B01</w:t>
      </w:r>
    </w:p>
    <w:bookmarkEnd w:id="20"/>
    <w:bookmarkStart w:id="21" w:name="lawyer-legal-counsel"/>
    <w:p>
      <w:pPr>
        <w:pStyle w:val="Heading3"/>
      </w:pPr>
      <w:r>
        <w:t xml:space="preserve">Lawyer / Legal Counsel</w:t>
      </w:r>
    </w:p>
    <w:p>
      <w:pPr>
        <w:pStyle w:val="FirstParagraph"/>
      </w:pPr>
      <w:r>
        <w:rPr>
          <w:bCs/>
          <w:b/>
        </w:rPr>
        <w:t xml:space="preserve">Mr. J. A. De Vries, Esq.</w:t>
      </w:r>
    </w:p>
    <w:p>
      <w:pPr>
        <w:pStyle w:val="BodyText"/>
      </w:pPr>
      <w:r>
        <w:t xml:space="preserve">Senior Partner &amp; Lead Lawyer</w:t>
      </w:r>
    </w:p>
    <w:p>
      <w:pPr>
        <w:pStyle w:val="BodyText"/>
      </w:pPr>
      <w:r>
        <w:t xml:space="preserve">De Vries &amp; Bakker Advocaten</w:t>
      </w:r>
    </w:p>
    <w:p>
      <w:pPr>
        <w:pStyle w:val="BodyText"/>
      </w:pPr>
      <w:r>
        <w:t xml:space="preserve">Amsterdam, Netherlands</w:t>
      </w:r>
    </w:p>
    <w:p>
      <w:pPr>
        <w:pStyle w:val="BodyText"/>
      </w:pPr>
      <w:r>
        <w:t xml:space="preserve">Bar Registration: ORN 12345678</w:t>
      </w:r>
    </w:p>
    <w:p>
      <w:pPr>
        <w:pStyle w:val="BodyText"/>
      </w:pPr>
      <w:r>
        <w:t xml:space="preserve">Specialization: Corporate &amp; Commercial Law</w:t>
      </w:r>
    </w:p>
    <w:bookmarkEnd w:id="21"/>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consultation and case assessment regarding commercial contract dispute with third-party vendor. The Lawyer reviewed all relevant documentation, assessed legal standing, and provided preliminary strategic advice to the client in Amsterdam, Netherlands.</w:t>
            </w:r>
          </w:p>
        </w:tc>
        <w:tc>
          <w:tcPr/>
          <w:p>
            <w:pPr>
              <w:pStyle w:val="Compact"/>
              <w:jc w:val="left"/>
            </w:pPr>
            <w:r>
              <w:t xml:space="preserve">02 Jun 2025</w:t>
            </w:r>
          </w:p>
        </w:tc>
        <w:tc>
          <w:tcPr/>
          <w:p>
            <w:pPr>
              <w:pStyle w:val="Compact"/>
              <w:jc w:val="left"/>
            </w:pPr>
            <w:r>
              <w:t xml:space="preserve">2.5</w:t>
            </w:r>
          </w:p>
        </w:tc>
        <w:tc>
          <w:tcPr/>
          <w:p>
            <w:pPr>
              <w:pStyle w:val="Compact"/>
              <w:jc w:val="left"/>
            </w:pPr>
            <w:r>
              <w:t xml:space="preserve">€225.00</w:t>
            </w:r>
          </w:p>
        </w:tc>
        <w:tc>
          <w:tcPr/>
          <w:p>
            <w:pPr>
              <w:pStyle w:val="Compact"/>
              <w:jc w:val="left"/>
            </w:pPr>
            <w:r>
              <w:t xml:space="preserve">€562.50</w:t>
            </w:r>
          </w:p>
        </w:tc>
      </w:tr>
      <w:tr>
        <w:tc>
          <w:tcPr/>
          <w:p>
            <w:pPr>
              <w:pStyle w:val="Compact"/>
              <w:jc w:val="left"/>
            </w:pPr>
            <w:r>
              <w:t xml:space="preserve">2</w:t>
            </w:r>
          </w:p>
        </w:tc>
        <w:tc>
          <w:tcPr/>
          <w:p>
            <w:pPr>
              <w:pStyle w:val="Compact"/>
              <w:jc w:val="left"/>
            </w:pPr>
            <w:r>
              <w:t xml:space="preserve">Drafting and preparation of formal legal demand letter (aanmaning) on behalf of the client. The Lawyer prepared comprehensive correspondence outlining breach of contract terms, quantifying damages, and establishing a 14-day compliance deadline in accordance with Dutch civil law (Burgerlijk Wetboek).</w:t>
            </w:r>
          </w:p>
        </w:tc>
        <w:tc>
          <w:tcPr/>
          <w:p>
            <w:pPr>
              <w:pStyle w:val="Compact"/>
              <w:jc w:val="left"/>
            </w:pPr>
            <w:r>
              <w:t xml:space="preserve">05 Jun 2025</w:t>
            </w:r>
          </w:p>
        </w:tc>
        <w:tc>
          <w:tcPr/>
          <w:p>
            <w:pPr>
              <w:pStyle w:val="Compact"/>
              <w:jc w:val="left"/>
            </w:pPr>
            <w:r>
              <w:t xml:space="preserve">3.0</w:t>
            </w:r>
          </w:p>
        </w:tc>
        <w:tc>
          <w:tcPr/>
          <w:p>
            <w:pPr>
              <w:pStyle w:val="Compact"/>
              <w:jc w:val="left"/>
            </w:pPr>
            <w:r>
              <w:t xml:space="preserve">€225.00</w:t>
            </w:r>
          </w:p>
        </w:tc>
        <w:tc>
          <w:tcPr/>
          <w:p>
            <w:pPr>
              <w:pStyle w:val="Compact"/>
              <w:jc w:val="left"/>
            </w:pPr>
            <w:r>
              <w:t xml:space="preserve">€675.00</w:t>
            </w:r>
          </w:p>
        </w:tc>
      </w:tr>
      <w:tr>
        <w:tc>
          <w:tcPr/>
          <w:p>
            <w:pPr>
              <w:pStyle w:val="Compact"/>
              <w:jc w:val="left"/>
            </w:pPr>
            <w:r>
              <w:t xml:space="preserve">3</w:t>
            </w:r>
          </w:p>
        </w:tc>
        <w:tc>
          <w:tcPr/>
          <w:p>
            <w:pPr>
              <w:pStyle w:val="Compact"/>
              <w:jc w:val="left"/>
            </w:pPr>
            <w:r>
              <w:t xml:space="preserve">Participation in mediation session at the Amsterdam Mediation Centre. The Lawyer represented the client's interests during a four-hour structured mediation process, negotiating settlement terms and exploring alternative dispute resolution pathways to avoid protracted litigation in the Amsterdam District Court (Rechtbank Amsterdam).</w:t>
            </w:r>
          </w:p>
        </w:tc>
        <w:tc>
          <w:tcPr/>
          <w:p>
            <w:pPr>
              <w:pStyle w:val="Compact"/>
              <w:jc w:val="left"/>
            </w:pPr>
            <w:r>
              <w:t xml:space="preserve">09 Jun 2025</w:t>
            </w:r>
          </w:p>
        </w:tc>
        <w:tc>
          <w:tcPr/>
          <w:p>
            <w:pPr>
              <w:pStyle w:val="Compact"/>
              <w:jc w:val="left"/>
            </w:pPr>
            <w:r>
              <w:t xml:space="preserve">4.5</w:t>
            </w:r>
          </w:p>
        </w:tc>
        <w:tc>
          <w:tcPr/>
          <w:p>
            <w:pPr>
              <w:pStyle w:val="Compact"/>
              <w:jc w:val="left"/>
            </w:pPr>
            <w:r>
              <w:t xml:space="preserve">€225.00</w:t>
            </w:r>
          </w:p>
        </w:tc>
        <w:tc>
          <w:tcPr/>
          <w:p>
            <w:pPr>
              <w:pStyle w:val="Compact"/>
              <w:jc w:val="left"/>
            </w:pPr>
            <w:r>
              <w:t xml:space="preserve">€1,012.50</w:t>
            </w:r>
          </w:p>
        </w:tc>
      </w:tr>
      <w:tr>
        <w:tc>
          <w:tcPr/>
          <w:p>
            <w:pPr>
              <w:pStyle w:val="Compact"/>
              <w:jc w:val="left"/>
            </w:pPr>
            <w:r>
              <w:t xml:space="preserve">4</w:t>
            </w:r>
          </w:p>
        </w:tc>
        <w:tc>
          <w:tcPr/>
          <w:p>
            <w:pPr>
              <w:pStyle w:val="Compact"/>
              <w:jc w:val="left"/>
            </w:pPr>
            <w:r>
              <w:t xml:space="preserve">Legal research and memorandum preparation on applicable Dutch commercial law provisions, including analysis of Articles 6:74 through 6:110 of the Dutch Civil Code. The Lawyer compiled a detailed legal opinion addressing enforceability of penalty clauses and limitation of liability provisions within the disputed agreement.</w:t>
            </w:r>
          </w:p>
        </w:tc>
        <w:tc>
          <w:tcPr/>
          <w:p>
            <w:pPr>
              <w:pStyle w:val="Compact"/>
              <w:jc w:val="left"/>
            </w:pPr>
            <w:r>
              <w:t xml:space="preserve">10 Jun 2025</w:t>
            </w:r>
          </w:p>
        </w:tc>
        <w:tc>
          <w:tcPr/>
          <w:p>
            <w:pPr>
              <w:pStyle w:val="Compact"/>
              <w:jc w:val="left"/>
            </w:pPr>
            <w:r>
              <w:t xml:space="preserve">3.5</w:t>
            </w:r>
          </w:p>
        </w:tc>
        <w:tc>
          <w:tcPr/>
          <w:p>
            <w:pPr>
              <w:pStyle w:val="Compact"/>
              <w:jc w:val="left"/>
            </w:pPr>
            <w:r>
              <w:t xml:space="preserve">€225.00</w:t>
            </w:r>
          </w:p>
        </w:tc>
        <w:tc>
          <w:tcPr/>
          <w:p>
            <w:pPr>
              <w:pStyle w:val="Compact"/>
              <w:jc w:val="left"/>
            </w:pPr>
            <w:r>
              <w:t xml:space="preserve">€787.50</w:t>
            </w:r>
          </w:p>
        </w:tc>
      </w:tr>
      <w:tr>
        <w:tc>
          <w:tcPr/>
          <w:p>
            <w:pPr>
              <w:pStyle w:val="Compact"/>
              <w:jc w:val="left"/>
            </w:pPr>
            <w:r>
              <w:t xml:space="preserve">5</w:t>
            </w:r>
          </w:p>
        </w:tc>
        <w:tc>
          <w:tcPr/>
          <w:p>
            <w:pPr>
              <w:pStyle w:val="Compact"/>
              <w:jc w:val="left"/>
            </w:pPr>
            <w:r>
              <w:t xml:space="preserve">Preparation of settlement agreement (dadingsovereenkomst) for client review and execution. The Lawyer drafted a comprehensive settlement document incorporating mutual release clauses, payment schedule, confidentiality provisions, and governing law designation for the Netherlands Amsterdam jurisdiction.</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€225.00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Administrative costs: filing fees, certified document copies, registered mail postage, and court registry fees incurred in connection with the above-referenced matter in Amsterdam, Netherlands.</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€3,487.50</w:t>
            </w:r>
          </w:p>
        </w:tc>
      </w:tr>
      <w:tr>
        <w:tc>
          <w:tcPr/>
          <w:p>
            <w:pPr>
              <w:pStyle w:val="Compact"/>
              <w:jc w:val="left"/>
            </w:pPr>
            <w:r>
              <w:t xml:space="preserve">Administrative &amp; Filing Costs</w:t>
            </w:r>
          </w:p>
        </w:tc>
        <w:tc>
          <w:tcPr/>
          <w:p>
            <w:pPr>
              <w:pStyle w:val="Compact"/>
              <w:jc w:val="right"/>
            </w:pPr>
            <w:r>
              <w:t xml:space="preserve">€187.40</w:t>
            </w:r>
          </w:p>
        </w:tc>
      </w:tr>
      <w:tr>
        <w:tc>
          <w:tcPr/>
          <w:p>
            <w:pPr>
              <w:pStyle w:val="Compact"/>
              <w:jc w:val="left"/>
            </w:pPr>
            <w:r>
              <w:t xml:space="preserve">VAT (21% - Dutch Value Added Tax)</w:t>
            </w:r>
          </w:p>
        </w:tc>
        <w:tc>
          <w:tcPr/>
          <w:p>
            <w:pPr>
              <w:pStyle w:val="Compact"/>
              <w:jc w:val="right"/>
            </w:pPr>
            <w:r>
              <w:t xml:space="preserve">€778.15</w:t>
            </w:r>
          </w:p>
        </w:tc>
      </w:tr>
      <w:tr>
        <w:tc>
          <w:tcPr/>
          <w:p>
            <w:pPr>
              <w:pStyle w:val="Compact"/>
              <w:jc w:val="left"/>
            </w:pPr>
            <w:r>
              <w:t xml:space="preserve">TOTAL AMOUNT DUE</w:t>
            </w:r>
          </w:p>
        </w:tc>
        <w:tc>
          <w:tcPr/>
          <w:p>
            <w:pPr>
              <w:pStyle w:val="Compact"/>
              <w:jc w:val="right"/>
            </w:pPr>
            <w:r>
              <w:t xml:space="preserve">€4,453.05</w:t>
            </w:r>
          </w:p>
        </w:tc>
      </w:tr>
    </w:tbl>
    <w:p>
      <w:pPr>
        <w:pStyle w:val="BodyText"/>
      </w:pPr>
      <w:r>
        <w:rPr>
          <w:bCs/>
          <w:b/>
        </w:rPr>
        <w:t xml:space="preserve">Payment Terms &amp; Instructions:</w:t>
      </w:r>
    </w:p>
    <w:p>
      <w:pPr>
        <w:pStyle w:val="BodyText"/>
      </w:pPr>
      <w:r>
        <w:t xml:space="preserve">This Invoice must be settled in full within fourteen (14) calendar days from the date of issue, no later than 28 June 2025. Payment shall be made via bank transfer to the following account held by De Vries &amp; Bakker Advocaten, Amsterdam, Netherlands:</w:t>
      </w:r>
    </w:p>
    <w:p>
      <w:pPr>
        <w:pStyle w:val="BodyText"/>
      </w:pPr>
      <w:r>
        <w:rPr>
          <w:bCs/>
          <w:b/>
        </w:rPr>
        <w:t xml:space="preserve">Bank:</w:t>
      </w:r>
      <w:r>
        <w:t xml:space="preserve"> </w:t>
      </w:r>
      <w:r>
        <w:t xml:space="preserve">ING Bank N.V.</w:t>
      </w:r>
      <w:r>
        <w:br/>
      </w:r>
      <w:r>
        <w:rPr>
          <w:bCs/>
          <w:b/>
        </w:rPr>
        <w:t xml:space="preserve">IBAN:</w:t>
      </w:r>
      <w:r>
        <w:t xml:space="preserve"> </w:t>
      </w:r>
      <w:r>
        <w:t xml:space="preserve">NL91 INGB 0001 2345 67</w:t>
      </w:r>
      <w:r>
        <w:br/>
      </w:r>
      <w:r>
        <w:rPr>
          <w:bCs/>
          <w:b/>
        </w:rPr>
        <w:t xml:space="preserve">BIC/SWIFT:</w:t>
      </w:r>
      <w:r>
        <w:t xml:space="preserve"> </w:t>
      </w:r>
      <w:r>
        <w:t xml:space="preserve">INGBNL2A</w:t>
      </w:r>
      <w:r>
        <w:br/>
      </w:r>
      <w:r>
        <w:rPr>
          <w:bCs/>
          <w:b/>
        </w:rPr>
        <w:t xml:space="preserve">Reference:</w:t>
      </w:r>
      <w:r>
        <w:t xml:space="preserve"> </w:t>
      </w:r>
      <w:r>
        <w:t xml:space="preserve">INV-2025-0487 / Van der Berg Holdings B.V.</w:t>
      </w:r>
      <w:r>
        <w:br/>
      </w:r>
    </w:p>
    <w:p>
      <w:pPr>
        <w:pStyle w:val="BodyText"/>
      </w:pPr>
      <w:r>
        <w:t xml:space="preserve">Please ensure that the Invoice number and client reference are clearly stated in the payment description. In the event of non-payment by the due date, statutory interest of 8% per annum (as prescribed under Article 6:119 of the Dutch Civil Code) shall accrue on the outstanding balance, and the Lawyer reserves the right to recover all costs associated with debt collection proceedings before the competent court in Amsterdam, Netherlands.</w:t>
      </w:r>
    </w:p>
    <w:p>
      <w:pPr>
        <w:pStyle w:val="BodyText"/>
      </w:pPr>
      <w:r>
        <w:rPr>
          <w:bCs/>
          <w:b/>
        </w:rPr>
        <w:t xml:space="preserve">Notes &amp; Important Information:</w:t>
      </w:r>
    </w:p>
    <w:p>
      <w:pPr>
        <w:pStyle w:val="BodyText"/>
      </w:pPr>
      <w:r>
        <w:t xml:space="preserve">1. This Invoice has been issued by De Vries &amp; Bakker Advocaten, a registered law firm practising in Amsterdam, Netherlands, in accordance with the Dutch Advocatenwet (Advocates Act) and the professional code of conduct of the Dutch Bar Association (Orde van Advocaten).</w:t>
      </w:r>
    </w:p>
    <w:p>
      <w:pPr>
        <w:pStyle w:val="BodyText"/>
      </w:pPr>
      <w:r>
        <w:t xml:space="preserve">2. All legal services described in this Invoice were performed by a qualified and licensed Lawyer admitted to the Bar of Amsterdam. The professional fees charged reflect the standard hourly rate applicable to senior partners at this firm for the 2025 billing period.</w:t>
      </w:r>
    </w:p>
    <w:p>
      <w:pPr>
        <w:pStyle w:val="BodyText"/>
      </w:pPr>
      <w:r>
        <w:t xml:space="preserve">3. The VAT (Belasting over de Toegevoegde Waarde) applied on this Invoice is at the standard Dutch rate of 21%. As the client is a registered VAT entity in the Netherlands, this Invoice is issued as a taxable supply under Article 9 of the Dutch VAT Act (Wet op de omzetbelasting).</w:t>
      </w:r>
    </w:p>
    <w:p>
      <w:pPr>
        <w:pStyle w:val="BodyText"/>
      </w:pPr>
      <w:r>
        <w:t xml:space="preserve">4. Should the client wish to dispute any item on this Invoice, written notice must be provided to the undersigned Lawyer within ten (10) business days of receipt. Failure to do so shall constitute acceptance of the charges as stated.</w:t>
      </w:r>
    </w:p>
    <w:p>
      <w:pPr>
        <w:pStyle w:val="BodyText"/>
      </w:pPr>
      <w:r>
        <w:t xml:space="preserve">5. This Invoice constitutes a binding financial document. All communications regarding this matter should reference Invoice number INV-2025-0487 and Case File NL-AM-2025-0312.</w:t>
      </w:r>
    </w:p>
    <w:p>
      <w:pPr>
        <w:pStyle w:val="BodyText"/>
      </w:pPr>
      <w:r>
        <w:t xml:space="preserve">6. The Lawyer and the firm maintain strict professional confidentiality in accordance with Article 5 of the Dutch Advocatenwet. This Invoice and all associated documentation are protected under legal professional privilege.</w:t>
      </w:r>
    </w:p>
    <w:p>
      <w:pPr>
        <w:pStyle w:val="BodyText"/>
      </w:pPr>
      <w:r>
        <w:t xml:space="preserve">De Vries &amp; Bakker Advocaten | Keizersgracht 412, 1016 GC Amsterdam, Netherlands</w:t>
      </w:r>
    </w:p>
    <w:p>
      <w:pPr>
        <w:pStyle w:val="BodyText"/>
      </w:pPr>
      <w:r>
        <w:t xml:space="preserve">KvK: 34567890 | VAT: NL854321987B01 | Chamber of Advocates: Amsterdam</w:t>
      </w:r>
    </w:p>
    <w:p>
      <w:pPr>
        <w:pStyle w:val="BodyText"/>
      </w:pPr>
      <w:r>
        <w:t xml:space="preserve">This Invoice was generated electronically and is valid without a physical signature. For queries regarding this Invoice, please contact the billing department at billing@devriesbakker.nl or +31 (0)20 555 0142.</w:t>
      </w:r>
    </w:p>
    <w:p>
      <w:pPr>
        <w:pStyle w:val="BodyText"/>
      </w:pPr>
      <w:r>
        <w:t xml:space="preserve">Thank you for entrusting your legal matters to our firm. We remain at your disposal for any further legal counsel required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Amsterdam, Netherlands</dc:title>
  <dc:creator/>
  <dc:language>en</dc:language>
  <cp:keywords/>
  <dcterms:created xsi:type="dcterms:W3CDTF">2026-10-10T09:10:35Z</dcterms:created>
  <dcterms:modified xsi:type="dcterms:W3CDTF">2026-10-10T09:10:35Z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