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Legal Services Invoice — Philippines Manila</w:t>
      </w:r>
    </w:p>
    <w:p>
      <w:pPr>
        <w:pStyle w:val="BodyText"/>
      </w:pPr>
      <w:r>
        <w:t xml:space="preserve">Republic of the Philippines • City of Manila</w:t>
      </w:r>
    </w:p>
    <w:bookmarkEnd w:id="20"/>
    <w:bookmarkStart w:id="21" w:name="lawyer-law-firm"/>
    <w:p>
      <w:pPr>
        <w:pStyle w:val="Heading3"/>
      </w:pPr>
      <w:r>
        <w:t xml:space="preserve">Lawyer / Law Firm</w:t>
      </w:r>
    </w:p>
    <w:p>
      <w:pPr>
        <w:pStyle w:val="FirstParagraph"/>
      </w:pPr>
      <w:r>
        <w:rPr>
          <w:bCs/>
          <w:b/>
        </w:rPr>
        <w:t xml:space="preserve">Atty. Ricardo M. Dela Cruz, Esq.</w:t>
      </w:r>
    </w:p>
    <w:p>
      <w:pPr>
        <w:pStyle w:val="BodyText"/>
      </w:pPr>
      <w:r>
        <w:t xml:space="preserve">Dela Cruz &amp; Associates Law Office</w:t>
      </w:r>
    </w:p>
    <w:p>
      <w:pPr>
        <w:pStyle w:val="BodyText"/>
      </w:pPr>
      <w:r>
        <w:t xml:space="preserve">12th Floor, Ayala Center Tower 3</w:t>
      </w:r>
    </w:p>
    <w:p>
      <w:pPr>
        <w:pStyle w:val="BodyText"/>
      </w:pPr>
      <w:r>
        <w:t xml:space="preserve">6816 Ayala Avenue, Makati City</w:t>
      </w:r>
    </w:p>
    <w:p>
      <w:pPr>
        <w:pStyle w:val="BodyText"/>
      </w:pPr>
      <w:r>
        <w:t xml:space="preserve">Philippines Manila, 1226</w:t>
      </w:r>
    </w:p>
    <w:p>
      <w:pPr>
        <w:pStyle w:val="BodyText"/>
      </w:pPr>
      <w:r>
        <w:t xml:space="preserve">Tel: (+63) 2 8830-4521</w:t>
      </w:r>
    </w:p>
    <w:p>
      <w:pPr>
        <w:pStyle w:val="BodyText"/>
      </w:pPr>
      <w:r>
        <w:t xml:space="preserve">Email: billing@delacruzassociates.ph</w:t>
      </w:r>
    </w:p>
    <w:p>
      <w:pPr>
        <w:pStyle w:val="BodyText"/>
      </w:pPr>
      <w:r>
        <w:t xml:space="preserve">IBP No. 2847-1998 | Roll No. 34,521</w:t>
      </w:r>
    </w:p>
    <w:p>
      <w:pPr>
        <w:pStyle w:val="BodyText"/>
      </w:pPr>
      <w:r>
        <w:t xml:space="preserve">TIN: 201-456-789-000</w:t>
      </w:r>
    </w:p>
    <w:bookmarkEnd w:id="21"/>
    <w:bookmarkStart w:id="22" w:name="billed-to-client"/>
    <w:p>
      <w:pPr>
        <w:pStyle w:val="Heading3"/>
      </w:pPr>
      <w:r>
        <w:t xml:space="preserve">Billed To (Client)</w:t>
      </w:r>
    </w:p>
    <w:p>
      <w:pPr>
        <w:pStyle w:val="FirstParagraph"/>
      </w:pPr>
      <w:r>
        <w:rPr>
          <w:bCs/>
          <w:b/>
        </w:rPr>
        <w:t xml:space="preserve">Meridian Construction Corp.</w:t>
      </w:r>
    </w:p>
    <w:p>
      <w:pPr>
        <w:pStyle w:val="BodyText"/>
      </w:pPr>
      <w:r>
        <w:t xml:space="preserve">Attn: Mr. Jose A. Villanueva, General Counsel</w:t>
      </w:r>
    </w:p>
    <w:p>
      <w:pPr>
        <w:pStyle w:val="BodyText"/>
      </w:pPr>
      <w:r>
        <w:t xml:space="preserve">888 Bonifacio Drive, BGC</w:t>
      </w:r>
    </w:p>
    <w:p>
      <w:pPr>
        <w:pStyle w:val="BodyText"/>
      </w:pPr>
      <w:r>
        <w:t xml:space="preserve">Philippines Manila, 1210</w:t>
      </w:r>
    </w:p>
    <w:p>
      <w:pPr>
        <w:pStyle w:val="BodyText"/>
      </w:pPr>
      <w:r>
        <w:t xml:space="preserve">TIN: 210-987-654-000</w:t>
      </w:r>
    </w:p>
    <w:p>
      <w:pPr>
        <w:pStyle w:val="BodyText"/>
      </w:pPr>
      <w:r>
        <w:t xml:space="preserve">VAT Reg. No. 000-123-456-789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DC-2025-00472</w:t>
            </w:r>
          </w:p>
        </w:tc>
      </w:tr>
      <w:tr>
        <w:tc>
          <w:tcPr/>
          <w:p>
            <w:pPr>
              <w:pStyle w:val="Compact"/>
              <w:jc w:val="left"/>
            </w:pPr>
            <w:r>
              <w:t xml:space="preserve">Date of Invoice: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Reference / Matter No.:</w:t>
            </w:r>
          </w:p>
        </w:tc>
        <w:tc>
          <w:tcPr/>
          <w:p>
            <w:pPr>
              <w:pStyle w:val="Compact"/>
              <w:jc w:val="left"/>
            </w:pPr>
            <w:r>
              <w:t xml:space="preserve">M-2025-0031</w:t>
            </w:r>
          </w:p>
        </w:tc>
      </w:tr>
      <w:tr>
        <w:tc>
          <w:tcPr/>
          <w:p>
            <w:pPr>
              <w:pStyle w:val="Compact"/>
              <w:jc w:val="left"/>
            </w:pPr>
            <w:r>
              <w:t xml:space="preserve">Currency:</w:t>
            </w:r>
          </w:p>
        </w:tc>
        <w:tc>
          <w:tcPr/>
          <w:p>
            <w:pPr>
              <w:pStyle w:val="Compact"/>
              <w:jc w:val="left"/>
            </w:pPr>
            <w:r>
              <w:t xml:space="preserve">Philippine Peso (PHP)</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Services Rendered</w:t>
            </w:r>
          </w:p>
        </w:tc>
        <w:tc>
          <w:tcPr/>
          <w:p>
            <w:pPr>
              <w:pStyle w:val="Compact"/>
              <w:jc w:val="left"/>
            </w:pPr>
            <w:r>
              <w:t xml:space="preserve">Date Performed</w:t>
            </w:r>
          </w:p>
        </w:tc>
        <w:tc>
          <w:tcPr/>
          <w:p>
            <w:pPr>
              <w:pStyle w:val="Compact"/>
              <w:jc w:val="left"/>
            </w:pPr>
            <w:r>
              <w:t xml:space="preserve">Rate (PHP/hr)</w:t>
            </w:r>
          </w:p>
        </w:tc>
        <w:tc>
          <w:tcPr/>
          <w:p>
            <w:pPr>
              <w:pStyle w:val="Compact"/>
              <w:jc w:val="left"/>
            </w:pPr>
            <w:r>
              <w:t xml:space="preserve">Hours</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consultation and case assessment regarding the commercial lease dispute with Unitrade Properties Inc. The Lawyer reviewed all existing lease agreements, correspondence, and prior legal opinions to determine the viability of the client's claims under Philippine civil law.</w:t>
            </w:r>
          </w:p>
        </w:tc>
        <w:tc>
          <w:tcPr/>
          <w:p>
            <w:pPr>
              <w:pStyle w:val="Compact"/>
              <w:jc w:val="left"/>
            </w:pPr>
            <w:r>
              <w:t xml:space="preserve">May 5, 2025</w:t>
            </w:r>
          </w:p>
        </w:tc>
        <w:tc>
          <w:tcPr/>
          <w:p>
            <w:pPr>
              <w:pStyle w:val="Compact"/>
              <w:jc w:val="left"/>
            </w:pPr>
            <w:r>
              <w:t xml:space="preserve">8,500.00</w:t>
            </w:r>
          </w:p>
        </w:tc>
        <w:tc>
          <w:tcPr/>
          <w:p>
            <w:pPr>
              <w:pStyle w:val="Compact"/>
              <w:jc w:val="left"/>
            </w:pPr>
            <w:r>
              <w:t xml:space="preserve">4.0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Drafting and filing of a formal Demand Letter to the opposing party, Unitrade Properties Inc., outlining the client's grievances, legal basis for termination of the lease, and demand for return of the security deposit. The Lawyer coordinated with the client's finance department to verify all monetary figures before finalizing the document.</w:t>
            </w:r>
          </w:p>
        </w:tc>
        <w:tc>
          <w:tcPr/>
          <w:p>
            <w:pPr>
              <w:pStyle w:val="Compact"/>
              <w:jc w:val="left"/>
            </w:pPr>
            <w:r>
              <w:t xml:space="preserve">May 12, 2025</w:t>
            </w:r>
          </w:p>
        </w:tc>
        <w:tc>
          <w:tcPr/>
          <w:p>
            <w:pPr>
              <w:pStyle w:val="Compact"/>
              <w:jc w:val="left"/>
            </w:pPr>
            <w:r>
              <w:t xml:space="preserve">8,500.00</w:t>
            </w:r>
          </w:p>
        </w:tc>
        <w:tc>
          <w:tcPr/>
          <w:p>
            <w:pPr>
              <w:pStyle w:val="Compact"/>
              <w:jc w:val="left"/>
            </w:pPr>
            <w:r>
              <w:t xml:space="preserve">6.5</w:t>
            </w:r>
          </w:p>
        </w:tc>
        <w:tc>
          <w:tcPr/>
          <w:p>
            <w:pPr>
              <w:pStyle w:val="Compact"/>
              <w:jc w:val="left"/>
            </w:pPr>
            <w:r>
              <w:t xml:space="preserve">55,250.00</w:t>
            </w:r>
          </w:p>
        </w:tc>
      </w:tr>
      <w:tr>
        <w:tc>
          <w:tcPr/>
          <w:p>
            <w:pPr>
              <w:pStyle w:val="Compact"/>
              <w:jc w:val="left"/>
            </w:pPr>
            <w:r>
              <w:t xml:space="preserve">3</w:t>
            </w:r>
          </w:p>
        </w:tc>
        <w:tc>
          <w:tcPr/>
          <w:p>
            <w:pPr>
              <w:pStyle w:val="Compact"/>
              <w:jc w:val="left"/>
            </w:pPr>
            <w:r>
              <w:t xml:space="preserve">Preparation and filing of a Complaint for Specific Performance and Damages before the Regional Trial Court, Branch 42, Philippines Manila. The Lawyer prepared the verified complaint, annexes, and supporting documents, and personally filed the case with the court clerk. This included compliance with the Rules of Court and the applicable filing fees.</w:t>
            </w:r>
          </w:p>
        </w:tc>
        <w:tc>
          <w:tcPr/>
          <w:p>
            <w:pPr>
              <w:pStyle w:val="Compact"/>
              <w:jc w:val="left"/>
            </w:pPr>
            <w:r>
              <w:t xml:space="preserve">May 20, 2025</w:t>
            </w:r>
          </w:p>
        </w:tc>
        <w:tc>
          <w:tcPr/>
          <w:p>
            <w:pPr>
              <w:pStyle w:val="Compact"/>
              <w:jc w:val="left"/>
            </w:pPr>
            <w:r>
              <w:t xml:space="preserve">8,500.00</w:t>
            </w:r>
          </w:p>
        </w:tc>
        <w:tc>
          <w:tcPr/>
          <w:p>
            <w:pPr>
              <w:pStyle w:val="Compact"/>
              <w:jc w:val="left"/>
            </w:pPr>
            <w:r>
              <w:t xml:space="preserve">12.0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Attendance at the Preliminary Conference and Pretrial Conference before the presiding judge at the RTC Philippines Manila. The Lawyer represented the client, presented the client's position, negotiated the issues to be tried, and prepared the pretrial memorandum. Travel and court appearance fees included.</w:t>
            </w:r>
          </w:p>
        </w:tc>
        <w:tc>
          <w:tcPr/>
          <w:p>
            <w:pPr>
              <w:pStyle w:val="Compact"/>
              <w:jc w:val="left"/>
            </w:pPr>
            <w:r>
              <w:t xml:space="preserve">June 2, 2025</w:t>
            </w:r>
          </w:p>
        </w:tc>
        <w:tc>
          <w:tcPr/>
          <w:p>
            <w:pPr>
              <w:pStyle w:val="Compact"/>
              <w:jc w:val="left"/>
            </w:pPr>
            <w:r>
              <w:t xml:space="preserve">8,500.00</w:t>
            </w:r>
          </w:p>
        </w:tc>
        <w:tc>
          <w:tcPr/>
          <w:p>
            <w:pPr>
              <w:pStyle w:val="Compact"/>
              <w:jc w:val="left"/>
            </w:pPr>
            <w:r>
              <w:t xml:space="preserve">8.0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Drafting of the client's Position Paper and Memorandum of Law in support of the Motion for Extension of Period to File Counter-Affidavit. The Lawyer conducted extensive legal research on relevant Supreme Court decisions and Philippine jurisprudence to strengthen the client's legal arguments.</w:t>
            </w:r>
          </w:p>
        </w:tc>
        <w:tc>
          <w:tcPr/>
          <w:p>
            <w:pPr>
              <w:pStyle w:val="Compact"/>
              <w:jc w:val="left"/>
            </w:pPr>
            <w:r>
              <w:t xml:space="preserve">June 8, 2025</w:t>
            </w:r>
          </w:p>
        </w:tc>
        <w:tc>
          <w:tcPr/>
          <w:p>
            <w:pPr>
              <w:pStyle w:val="Compact"/>
              <w:jc w:val="left"/>
            </w:pPr>
            <w:r>
              <w:t xml:space="preserve">8,500.00</w:t>
            </w:r>
          </w:p>
        </w:tc>
        <w:tc>
          <w:tcPr/>
          <w:p>
            <w:pPr>
              <w:pStyle w:val="Compact"/>
              <w:jc w:val="left"/>
            </w:pPr>
            <w:r>
              <w:t xml:space="preserve">7.5</w:t>
            </w:r>
          </w:p>
        </w:tc>
        <w:tc>
          <w:tcPr/>
          <w:p>
            <w:pPr>
              <w:pStyle w:val="Compact"/>
              <w:jc w:val="left"/>
            </w:pPr>
            <w:r>
              <w:t xml:space="preserve">63,750.00</w:t>
            </w:r>
          </w:p>
        </w:tc>
      </w:tr>
      <w:tr>
        <w:tc>
          <w:tcPr/>
          <w:p>
            <w:pPr>
              <w:pStyle w:val="Compact"/>
              <w:jc w:val="left"/>
            </w:pPr>
            <w:r>
              <w:t xml:space="preserve">6</w:t>
            </w:r>
          </w:p>
        </w:tc>
        <w:tc>
          <w:tcPr/>
          <w:p>
            <w:pPr>
              <w:pStyle w:val="Compact"/>
              <w:jc w:val="left"/>
            </w:pPr>
            <w:r>
              <w:t xml:space="preserve">Out-of-pocket expenses: Court filing fees, service of process fees, photocopying of legal documents, and courier charges for document delivery within the Philippines Manila jurisdiction. All expenses were incurred in direct connection with the legal matter referenced in this Invoice.</w:t>
            </w:r>
          </w:p>
        </w:tc>
        <w:tc>
          <w:tcPr/>
          <w:p>
            <w:pPr>
              <w:pStyle w:val="Compact"/>
              <w:jc w:val="left"/>
            </w:pPr>
            <w:r>
              <w:t xml:space="preserve">May–June 2025</w:t>
            </w:r>
          </w:p>
        </w:tc>
        <w:tc>
          <w:tcPr/>
          <w:p>
            <w:pPr>
              <w:pStyle w:val="Compact"/>
              <w:jc w:val="left"/>
            </w:pPr>
            <w:r>
              <w:t xml:space="preserve">N/A</w:t>
            </w:r>
          </w:p>
        </w:tc>
        <w:tc>
          <w:tcPr/>
          <w:p>
            <w:pPr>
              <w:pStyle w:val="Compact"/>
              <w:jc w:val="left"/>
            </w:pPr>
            <w:r>
              <w:t xml:space="preserve">N/A</w:t>
            </w:r>
          </w:p>
        </w:tc>
        <w:tc>
          <w:tcPr/>
          <w:p>
            <w:pPr>
              <w:pStyle w:val="Compact"/>
              <w:jc w:val="left"/>
            </w:pPr>
            <w:r>
              <w:t xml:space="preserve">12,450.00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PHP 323,000.00</w:t>
            </w:r>
          </w:p>
        </w:tc>
      </w:tr>
      <w:tr>
        <w:tc>
          <w:tcPr/>
          <w:p>
            <w:pPr>
              <w:pStyle w:val="Compact"/>
              <w:jc w:val="left"/>
            </w:pPr>
            <w:r>
              <w:t xml:space="preserve">Out-of-Pocket Expenses</w:t>
            </w:r>
          </w:p>
        </w:tc>
        <w:tc>
          <w:tcPr/>
          <w:p>
            <w:pPr>
              <w:pStyle w:val="Compact"/>
              <w:jc w:val="left"/>
            </w:pPr>
            <w:r>
              <w:t xml:space="preserve">PHP 12,450.00</w:t>
            </w:r>
          </w:p>
        </w:tc>
      </w:tr>
      <w:tr>
        <w:tc>
          <w:tcPr/>
          <w:p>
            <w:pPr>
              <w:pStyle w:val="Compact"/>
              <w:jc w:val="left"/>
            </w:pPr>
            <w:r>
              <w:t xml:space="preserve">Subtotal</w:t>
            </w:r>
          </w:p>
        </w:tc>
        <w:tc>
          <w:tcPr/>
          <w:p>
            <w:pPr>
              <w:pStyle w:val="Compact"/>
              <w:jc w:val="left"/>
            </w:pPr>
            <w:r>
              <w:t xml:space="preserve">PHP 335,450.00</w:t>
            </w:r>
          </w:p>
        </w:tc>
      </w:tr>
      <w:tr>
        <w:tc>
          <w:tcPr/>
          <w:p>
            <w:pPr>
              <w:pStyle w:val="Compact"/>
              <w:jc w:val="left"/>
            </w:pPr>
            <w:r>
              <w:t xml:space="preserve">VAT (12%)</w:t>
            </w:r>
          </w:p>
        </w:tc>
        <w:tc>
          <w:tcPr/>
          <w:p>
            <w:pPr>
              <w:pStyle w:val="Compact"/>
              <w:jc w:val="left"/>
            </w:pPr>
            <w:r>
              <w:t xml:space="preserve">PHP 40,254.00</w:t>
            </w:r>
          </w:p>
        </w:tc>
      </w:tr>
      <w:tr>
        <w:tc>
          <w:tcPr/>
          <w:p>
            <w:pPr>
              <w:pStyle w:val="Compact"/>
              <w:jc w:val="left"/>
            </w:pPr>
            <w:r>
              <w:t xml:space="preserve">TOTAL AMOUNT DUE</w:t>
            </w:r>
          </w:p>
        </w:tc>
        <w:tc>
          <w:tcPr/>
          <w:p>
            <w:pPr>
              <w:pStyle w:val="Compact"/>
              <w:jc w:val="left"/>
            </w:pPr>
            <w:r>
              <w:t xml:space="preserve">PHP 375,704.00</w:t>
            </w:r>
          </w:p>
        </w:tc>
      </w:tr>
    </w:tbl>
    <w:p>
      <w:pPr>
        <w:pStyle w:val="BodyText"/>
      </w:pPr>
      <w:r>
        <w:t xml:space="preserve">* VAT is applicable as the Lawyer and law firm is a VAT-registered entity under the Bureau of Internal Revenue, Philippines Manila Revenue District Office.</w:t>
      </w:r>
    </w:p>
    <w:bookmarkStart w:id="23" w:name="payment-instructions-terms"/>
    <w:p>
      <w:pPr>
        <w:pStyle w:val="Heading3"/>
      </w:pPr>
      <w:r>
        <w:t xml:space="preserve">Payment Instructions &amp; Terms</w:t>
      </w:r>
    </w:p>
    <w:p>
      <w:pPr>
        <w:pStyle w:val="FirstParagraph"/>
      </w:pPr>
      <w:r>
        <w:t xml:space="preserve">This Invoice is issued by the above-named Lawyer in the capacity of legal counsel to Meridian Construction Corp. for professional legal services rendered in the Philippines Manila jurisdiction. Payment of the total amount due shall be made within thirty (30) calendar days from the date of this Invoice, i.e., on or before July 15, 2025.</w:t>
      </w:r>
    </w:p>
    <w:p>
      <w:pPr>
        <w:pStyle w:val="BodyText"/>
      </w:pPr>
      <w:r>
        <w:t xml:space="preserve">Payment may be made via bank transfer to the following account:</w:t>
      </w:r>
    </w:p>
    <w:p>
      <w:pPr>
        <w:numPr>
          <w:ilvl w:val="0"/>
          <w:numId w:val="1001"/>
        </w:numPr>
        <w:pStyle w:val="Compact"/>
      </w:pPr>
      <w:r>
        <w:rPr>
          <w:bCs/>
          <w:b/>
        </w:rPr>
        <w:t xml:space="preserve">Bank:</w:t>
      </w:r>
      <w:r>
        <w:t xml:space="preserve"> </w:t>
      </w:r>
      <w:r>
        <w:t xml:space="preserve">BDO Unibank, Inc. — Ayala Avenue Branch, Philippines Manila</w:t>
      </w:r>
    </w:p>
    <w:p>
      <w:pPr>
        <w:numPr>
          <w:ilvl w:val="0"/>
          <w:numId w:val="1001"/>
        </w:numPr>
        <w:pStyle w:val="Compact"/>
      </w:pPr>
      <w:r>
        <w:rPr>
          <w:bCs/>
          <w:b/>
        </w:rPr>
        <w:t xml:space="preserve">Account Name:</w:t>
      </w:r>
      <w:r>
        <w:t xml:space="preserve"> </w:t>
      </w:r>
      <w:r>
        <w:t xml:space="preserve">Dela Cruz &amp; Associates Law Office</w:t>
      </w:r>
    </w:p>
    <w:p>
      <w:pPr>
        <w:numPr>
          <w:ilvl w:val="0"/>
          <w:numId w:val="1001"/>
        </w:numPr>
        <w:pStyle w:val="Compact"/>
      </w:pPr>
      <w:r>
        <w:rPr>
          <w:bCs/>
          <w:b/>
        </w:rPr>
        <w:t xml:space="preserve">Account No.:</w:t>
      </w:r>
      <w:r>
        <w:t xml:space="preserve"> </w:t>
      </w:r>
      <w:r>
        <w:t xml:space="preserve">0012-3456-7890-123</w:t>
      </w:r>
    </w:p>
    <w:p>
      <w:pPr>
        <w:numPr>
          <w:ilvl w:val="0"/>
          <w:numId w:val="1001"/>
        </w:numPr>
        <w:pStyle w:val="Compact"/>
      </w:pPr>
      <w:r>
        <w:rPr>
          <w:bCs/>
          <w:b/>
        </w:rPr>
        <w:t xml:space="preserve">SWIFT Code:</w:t>
      </w:r>
      <w:r>
        <w:t xml:space="preserve"> </w:t>
      </w:r>
      <w:r>
        <w:t xml:space="preserve">BDOUPHMM</w:t>
      </w:r>
    </w:p>
    <w:p>
      <w:pPr>
        <w:pStyle w:val="FirstParagraph"/>
      </w:pPr>
      <w:r>
        <w:t xml:space="preserve">Please reference the Invoice number</w:t>
      </w:r>
      <w:r>
        <w:t xml:space="preserve"> </w:t>
      </w:r>
      <w:r>
        <w:rPr>
          <w:bCs/>
          <w:b/>
        </w:rPr>
        <w:t xml:space="preserve">DC-2025-00472</w:t>
      </w:r>
      <w:r>
        <w:t xml:space="preserve"> </w:t>
      </w:r>
      <w:r>
        <w:t xml:space="preserve">in all payment communications. A late payment penalty of 1.5% per month shall be applied to any outstanding balance after the due date, in accordance with the retainer agreement signed by both parties.</w:t>
      </w:r>
    </w:p>
    <w:bookmarkEnd w:id="23"/>
    <w:bookmarkStart w:id="24" w:name="terms-and-conditions"/>
    <w:p>
      <w:pPr>
        <w:pStyle w:val="Heading3"/>
      </w:pPr>
      <w:r>
        <w:t xml:space="preserve">Terms and Conditions</w:t>
      </w:r>
    </w:p>
    <w:p>
      <w:pPr>
        <w:numPr>
          <w:ilvl w:val="0"/>
          <w:numId w:val="1002"/>
        </w:numPr>
        <w:pStyle w:val="Compact"/>
      </w:pPr>
      <w:r>
        <w:t xml:space="preserve">This Invoice constitutes a final and complete accounting of all legal services and expenses incurred by the Lawyer up to the date of issuance. Any additional services rendered after the date of this Invoice shall be subject to a separate Invoice.</w:t>
      </w:r>
    </w:p>
    <w:p>
      <w:pPr>
        <w:numPr>
          <w:ilvl w:val="0"/>
          <w:numId w:val="1002"/>
        </w:numPr>
        <w:pStyle w:val="Compact"/>
      </w:pPr>
      <w:r>
        <w:t xml:space="preserve">All fees charged by the Lawyer are in accordance with the Philippine Bar's Code of Professional Responsibility and the applicable fee schedule agreed upon in the written retainer agreement dated April 28, 2025.</w:t>
      </w:r>
    </w:p>
    <w:p>
      <w:pPr>
        <w:numPr>
          <w:ilvl w:val="0"/>
          <w:numId w:val="1002"/>
        </w:numPr>
        <w:pStyle w:val="Compact"/>
      </w:pPr>
      <w:r>
        <w:t xml:space="preserve">The Lawyer reserves the right to withhold further legal representation and court appearances until full payment of this Invoice has been received and cleared.</w:t>
      </w:r>
    </w:p>
    <w:p>
      <w:pPr>
        <w:numPr>
          <w:ilvl w:val="0"/>
          <w:numId w:val="1002"/>
        </w:numPr>
        <w:pStyle w:val="Compact"/>
      </w:pPr>
      <w:r>
        <w:t xml:space="preserve">All documents, drafts, and legal opinions prepared by the Lawyer in connection with this matter remain the property of the Lawyer until full payment is received.</w:t>
      </w:r>
    </w:p>
    <w:p>
      <w:pPr>
        <w:numPr>
          <w:ilvl w:val="0"/>
          <w:numId w:val="1002"/>
        </w:numPr>
        <w:pStyle w:val="Compact"/>
      </w:pPr>
      <w:r>
        <w:t xml:space="preserve">This Invoice is subject to the jurisdiction of the courts of the Philippines Manila. Any disputes arising from this Invoice shall be resolved in accordance with Philippine law.</w:t>
      </w:r>
    </w:p>
    <w:p>
      <w:pPr>
        <w:numPr>
          <w:ilvl w:val="0"/>
          <w:numId w:val="1002"/>
        </w:numPr>
        <w:pStyle w:val="Compact"/>
      </w:pPr>
      <w:r>
        <w:t xml:space="preserve">The client acknowledges that the Lawyer has provided all services in good faith and in compliance with the Philippine Rules of Court and the Code of Ethics for Lawyers.</w:t>
      </w:r>
    </w:p>
    <w:bookmarkEnd w:id="24"/>
    <w:p>
      <w:pPr>
        <w:pStyle w:val="FirstParagraph"/>
      </w:pPr>
      <w:r>
        <w:rPr>
          <w:bCs/>
          <w:b/>
        </w:rPr>
        <w:t xml:space="preserve">Prepared and Issued By:</w:t>
      </w:r>
    </w:p>
    <w:p>
      <w:pPr>
        <w:pStyle w:val="BodyText"/>
      </w:pPr>
      <w:r>
        <w:rPr>
          <w:bCs/>
          <w:b/>
        </w:rPr>
        <w:t xml:space="preserve">Atty. Ricardo M. Dela Cruz, Esq.</w:t>
      </w:r>
    </w:p>
    <w:p>
      <w:pPr>
        <w:pStyle w:val="BodyText"/>
      </w:pPr>
      <w:r>
        <w:t xml:space="preserve">Lead Lawyer &amp; Managing Partner</w:t>
      </w:r>
    </w:p>
    <w:p>
      <w:pPr>
        <w:pStyle w:val="BodyText"/>
      </w:pPr>
      <w:r>
        <w:t xml:space="preserve">Dela Cruz &amp; Associates Law Office</w:t>
      </w:r>
    </w:p>
    <w:p>
      <w:pPr>
        <w:pStyle w:val="BodyText"/>
      </w:pPr>
      <w:r>
        <w:t xml:space="preserve">Philippines Manila</w:t>
      </w:r>
    </w:p>
    <w:p>
      <w:pPr>
        <w:pStyle w:val="BodyText"/>
      </w:pPr>
      <w:r>
        <w:rPr>
          <w:bCs/>
          <w:b/>
        </w:rPr>
        <w:t xml:space="preserve">Received and Acknowledged By:</w:t>
      </w:r>
    </w:p>
    <w:p>
      <w:pPr>
        <w:pStyle w:val="BodyText"/>
      </w:pPr>
      <w:r>
        <w:rPr>
          <w:bCs/>
          <w:b/>
        </w:rPr>
        <w:t xml:space="preserve">Jose A. Villanueva</w:t>
      </w:r>
    </w:p>
    <w:p>
      <w:pPr>
        <w:pStyle w:val="BodyText"/>
      </w:pPr>
      <w:r>
        <w:t xml:space="preserve">General Counsel</w:t>
      </w:r>
    </w:p>
    <w:p>
      <w:pPr>
        <w:pStyle w:val="BodyText"/>
      </w:pPr>
      <w:r>
        <w:t xml:space="preserve">Meridian Construction Corp.</w:t>
      </w:r>
    </w:p>
    <w:p>
      <w:pPr>
        <w:pStyle w:val="BodyText"/>
      </w:pPr>
      <w:r>
        <w:t xml:space="preserve">Philippines Manila</w:t>
      </w:r>
    </w:p>
    <w:p>
      <w:pPr>
        <w:pStyle w:val="BodyText"/>
      </w:pPr>
      <w:r>
        <w:rPr>
          <w:bCs/>
          <w:b/>
        </w:rPr>
        <w:t xml:space="preserve">Dela Cruz &amp; Associates Law Office</w:t>
      </w:r>
      <w:r>
        <w:t xml:space="preserve"> </w:t>
      </w:r>
      <w:r>
        <w:t xml:space="preserve">| 12th Floor, Ayala Center Tower 3, 6816 Ayala Avenue, Philippines Manila, 1226</w:t>
      </w:r>
    </w:p>
    <w:p>
      <w:pPr>
        <w:pStyle w:val="BodyText"/>
      </w:pPr>
      <w:r>
        <w:t xml:space="preserve">Tel: (+63) 2 8830-4521 | Email: billing@delacruzassociates.ph | IBP No. 2847-1998</w:t>
      </w:r>
    </w:p>
    <w:p>
      <w:pPr>
        <w:pStyle w:val="BodyText"/>
      </w:pPr>
      <w:r>
        <w:t xml:space="preserve">This Invoice is generated electronically and is valid without a physical signature. For inquiries regarding this Invoice, please contact the billing department within five (5) business days of receipt. Thank you for your business.</w:t>
      </w:r>
    </w:p>
    <w:p>
      <w:pPr>
        <w:pStyle w:val="BodyText"/>
      </w:pPr>
      <w:r>
        <w:t xml:space="preserve">© 2025 Dela Cruz &amp; Associates Law Office. All rights reserved.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Philippines Manila</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