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Invoice</w:t>
      </w:r>
      <w:r>
        <w:t xml:space="preserve"> </w:t>
      </w:r>
      <w:r>
        <w:t xml:space="preserve">-</w:t>
      </w:r>
      <w:r>
        <w:t xml:space="preserve"> </w:t>
      </w:r>
      <w:r>
        <w:t xml:space="preserve">Moscow,</w:t>
      </w:r>
      <w:r>
        <w:t xml:space="preserve"> </w:t>
      </w:r>
      <w:r>
        <w:t xml:space="preserve">Russia</w:t>
      </w:r>
    </w:p>
    <w:bookmarkStart w:id="20" w:name="invoice"/>
    <w:p>
      <w:pPr>
        <w:pStyle w:val="Heading1"/>
      </w:pPr>
      <w:r>
        <w:t xml:space="preserve">INVOICE</w:t>
      </w:r>
    </w:p>
    <w:p>
      <w:pPr>
        <w:pStyle w:val="FirstParagraph"/>
      </w:pPr>
      <w:r>
        <w:t xml:space="preserve">Legal Services — Attorney at Law — Moscow, Russian Federation</w:t>
      </w:r>
    </w:p>
    <w:p>
      <w:pPr>
        <w:pStyle w:val="BodyText"/>
      </w:pPr>
      <w:r>
        <w:rPr>
          <w:bCs/>
          <w:b/>
        </w:rPr>
        <w:t xml:space="preserve">Invoice No.:</w:t>
      </w:r>
      <w:r>
        <w:t xml:space="preserve"> </w:t>
      </w:r>
      <w:r>
        <w:t xml:space="preserve">INV-MSK-2025-04871  | </w:t>
      </w:r>
      <w:r>
        <w:t xml:space="preserve"> </w:t>
      </w:r>
      <w:r>
        <w:rPr>
          <w:bCs/>
          <w:b/>
        </w:rPr>
        <w:t xml:space="preserve">Date of Issue:</w:t>
      </w:r>
      <w:r>
        <w:t xml:space="preserve"> </w:t>
      </w:r>
      <w:r>
        <w:t xml:space="preserve">15 June 2025  | </w:t>
      </w:r>
      <w:r>
        <w:t xml:space="preserve"> </w:t>
      </w:r>
      <w:r>
        <w:rPr>
          <w:bCs/>
          <w:b/>
        </w:rPr>
        <w:t xml:space="preserve">Due Date:</w:t>
      </w:r>
      <w:r>
        <w:t xml:space="preserve"> </w:t>
      </w:r>
      <w:r>
        <w:t xml:space="preserve">30 June 2025</w:t>
      </w:r>
    </w:p>
    <w:bookmarkEnd w:id="20"/>
    <w:bookmarkStart w:id="21" w:name="lawyer-service-provider"/>
    <w:p>
      <w:pPr>
        <w:pStyle w:val="Heading3"/>
      </w:pPr>
      <w:r>
        <w:t xml:space="preserve">Lawyer / Service Provider</w:t>
      </w:r>
    </w:p>
    <w:p>
      <w:pPr>
        <w:pStyle w:val="FirstParagraph"/>
      </w:pPr>
      <w:r>
        <w:rPr>
          <w:bCs/>
          <w:b/>
        </w:rPr>
        <w:t xml:space="preserve">Attorney:</w:t>
      </w:r>
      <w:r>
        <w:t xml:space="preserve"> </w:t>
      </w:r>
      <w:r>
        <w:t xml:space="preserve">Sergey Viktorovich Kuznetsov, Esq.</w:t>
      </w:r>
      <w:r>
        <w:br/>
      </w:r>
      <w:r>
        <w:rPr>
          <w:bCs/>
          <w:b/>
        </w:rPr>
        <w:t xml:space="preserve">Law Firm:</w:t>
      </w:r>
      <w:r>
        <w:t xml:space="preserve"> </w:t>
      </w:r>
      <w:r>
        <w:t xml:space="preserve">Kuznetsov &amp; Partners Legal Counsel LLP</w:t>
      </w:r>
      <w:r>
        <w:br/>
      </w:r>
      <w:r>
        <w:rPr>
          <w:bCs/>
          <w:b/>
        </w:rPr>
        <w:t xml:space="preserve">Address:</w:t>
      </w:r>
      <w:r>
        <w:t xml:space="preserve"> </w:t>
      </w:r>
      <w:r>
        <w:t xml:space="preserve">12 Tverskaya Street, Building 3, Floor 14,</w:t>
      </w:r>
      <w:r>
        <w:br/>
      </w:r>
      <w:r>
        <w:t xml:space="preserve">Moscow, 125009, Russian Federation</w:t>
      </w:r>
      <w:r>
        <w:br/>
      </w:r>
      <w:r>
        <w:rPr>
          <w:bCs/>
          <w:b/>
        </w:rPr>
        <w:t xml:space="preserve">INN (Tax ID):</w:t>
      </w:r>
      <w:r>
        <w:t xml:space="preserve"> </w:t>
      </w:r>
      <w:r>
        <w:t xml:space="preserve">7706452183</w:t>
      </w:r>
      <w:r>
        <w:br/>
      </w:r>
      <w:r>
        <w:rPr>
          <w:bCs/>
          <w:b/>
        </w:rPr>
        <w:t xml:space="preserve">Bar Registration:</w:t>
      </w:r>
      <w:r>
        <w:t xml:space="preserve"> </w:t>
      </w:r>
      <w:r>
        <w:t xml:space="preserve">Moscow Bar Association, No. 77/1482</w:t>
      </w:r>
      <w:r>
        <w:br/>
      </w:r>
      <w:r>
        <w:rPr>
          <w:bCs/>
          <w:b/>
        </w:rPr>
        <w:t xml:space="preserve">Phone:</w:t>
      </w:r>
      <w:r>
        <w:t xml:space="preserve"> </w:t>
      </w:r>
      <w:r>
        <w:t xml:space="preserve">+7 (495) 620-3347</w:t>
      </w:r>
      <w:r>
        <w:br/>
      </w:r>
      <w:r>
        <w:rPr>
          <w:bCs/>
          <w:b/>
        </w:rPr>
        <w:t xml:space="preserve">Email:</w:t>
      </w:r>
      <w:r>
        <w:t xml:space="preserve"> </w:t>
      </w:r>
      <w:r>
        <w:t xml:space="preserve">s.kuznetsov@kuznetsov-law.ru</w:t>
      </w:r>
    </w:p>
    <w:bookmarkEnd w:id="21"/>
    <w:bookmarkStart w:id="22" w:name="client-bill-to"/>
    <w:p>
      <w:pPr>
        <w:pStyle w:val="Heading3"/>
      </w:pPr>
      <w:r>
        <w:t xml:space="preserve">Client / Bill To</w:t>
      </w:r>
    </w:p>
    <w:p>
      <w:pPr>
        <w:pStyle w:val="FirstParagraph"/>
      </w:pPr>
      <w:r>
        <w:rPr>
          <w:bCs/>
          <w:b/>
        </w:rPr>
        <w:t xml:space="preserve">Client Name:</w:t>
      </w:r>
      <w:r>
        <w:t xml:space="preserve"> </w:t>
      </w:r>
      <w:r>
        <w:t xml:space="preserve">OOO "Vostok Trading Group"</w:t>
      </w:r>
      <w:r>
        <w:br/>
      </w:r>
      <w:r>
        <w:rPr>
          <w:bCs/>
          <w:b/>
        </w:rPr>
        <w:t xml:space="preserve">Represented By:</w:t>
      </w:r>
      <w:r>
        <w:t xml:space="preserve"> </w:t>
      </w:r>
      <w:r>
        <w:t xml:space="preserve">Anna Dmitrievna Volkova, CEO</w:t>
      </w:r>
      <w:r>
        <w:br/>
      </w:r>
      <w:r>
        <w:rPr>
          <w:bCs/>
          <w:b/>
        </w:rPr>
        <w:t xml:space="preserve">Address:</w:t>
      </w:r>
      <w:r>
        <w:t xml:space="preserve"> </w:t>
      </w:r>
      <w:r>
        <w:t xml:space="preserve">45 Leningradsky Prospekt, Office 210,</w:t>
      </w:r>
      <w:r>
        <w:br/>
      </w:r>
      <w:r>
        <w:t xml:space="preserve">Moscow, 125167, Russian Federation</w:t>
      </w:r>
      <w:r>
        <w:br/>
      </w:r>
      <w:r>
        <w:rPr>
          <w:bCs/>
          <w:b/>
        </w:rPr>
        <w:t xml:space="preserve">INN (Tax ID):</w:t>
      </w:r>
      <w:r>
        <w:t xml:space="preserve"> </w:t>
      </w:r>
      <w:r>
        <w:t xml:space="preserve">7714982356</w:t>
      </w:r>
      <w:r>
        <w:br/>
      </w:r>
      <w:r>
        <w:rPr>
          <w:bCs/>
          <w:b/>
        </w:rPr>
        <w:t xml:space="preserve">Phone:</w:t>
      </w:r>
      <w:r>
        <w:t xml:space="preserve"> </w:t>
      </w:r>
      <w:r>
        <w:t xml:space="preserve">+7 (495) 987-1123</w:t>
      </w:r>
      <w:r>
        <w:br/>
      </w:r>
      <w:r>
        <w:rPr>
          <w:bCs/>
          <w:b/>
        </w:rPr>
        <w:t xml:space="preserve">Email:</w:t>
      </w:r>
      <w:r>
        <w:t xml:space="preserve"> </w:t>
      </w:r>
      <w:r>
        <w:t xml:space="preserve">a.volkova@vostoktrading.ru</w:t>
      </w:r>
    </w:p>
    <w:bookmarkEnd w:id="22"/>
    <w:bookmarkStart w:id="24" w:name="description-of-legal-services-rendered"/>
    <w:p>
      <w:pPr>
        <w:pStyle w:val="Heading2"/>
      </w:pPr>
      <w:r>
        <w:t xml:space="preserve">Description of Legal Services Rendered</w:t>
      </w:r>
    </w:p>
    <w:p>
      <w:pPr>
        <w:pStyle w:val="FirstParagraph"/>
      </w:pPr>
      <w:r>
        <w:t xml:space="preserve">The following professional legal services were provided by the undersigned Lawyer in Moscow, Russia, in accordance with the Engagement Agreement dated 02 March 2025 (Contract No. KPL-2025-0112) and in full compliance with the Civil Code of the Russian Federation, the Federal Law "On Advocacy and the Advocacy System in the Russian Federation" (No. 63-FZ of 31 May 2002), and the applicable regulations of the Moscow Bar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Legal Service Description</w:t>
            </w:r>
          </w:p>
        </w:tc>
        <w:tc>
          <w:tcPr/>
          <w:p>
            <w:pPr>
              <w:pStyle w:val="Compact"/>
              <w:jc w:val="left"/>
            </w:pPr>
            <w:r>
              <w:t xml:space="preserve">Period / Date</w:t>
            </w:r>
          </w:p>
        </w:tc>
        <w:tc>
          <w:tcPr/>
          <w:p>
            <w:pPr>
              <w:pStyle w:val="Compact"/>
              <w:jc w:val="left"/>
            </w:pPr>
            <w:r>
              <w:t xml:space="preserve">Hours</w:t>
            </w:r>
          </w:p>
        </w:tc>
        <w:tc>
          <w:tcPr/>
          <w:p>
            <w:pPr>
              <w:pStyle w:val="Compact"/>
              <w:jc w:val="left"/>
            </w:pPr>
            <w:r>
              <w:t xml:space="preserve">Fee (RUB)</w:t>
            </w:r>
          </w:p>
        </w:tc>
      </w:tr>
      <w:tr>
        <w:tc>
          <w:tcPr/>
          <w:p>
            <w:pPr>
              <w:pStyle w:val="Compact"/>
              <w:jc w:val="left"/>
            </w:pPr>
            <w:r>
              <w:t xml:space="preserve">01</w:t>
            </w:r>
          </w:p>
        </w:tc>
        <w:tc>
          <w:tcPr/>
          <w:p>
            <w:pPr>
              <w:pStyle w:val="Compact"/>
              <w:jc w:val="left"/>
            </w:pPr>
            <w:r>
              <w:t xml:space="preserve">Comprehensive legal consultation regarding the restructuring of intercompany agreements and assessment of compliance with Russian commercial law, conducted at the law firm's office in Moscow.</w:t>
            </w:r>
          </w:p>
        </w:tc>
        <w:tc>
          <w:tcPr/>
          <w:p>
            <w:pPr>
              <w:pStyle w:val="Compact"/>
              <w:jc w:val="left"/>
            </w:pPr>
            <w:r>
              <w:t xml:space="preserve">05 Mar 2025</w:t>
            </w:r>
          </w:p>
        </w:tc>
        <w:tc>
          <w:tcPr/>
          <w:p>
            <w:pPr>
              <w:pStyle w:val="Compact"/>
              <w:jc w:val="left"/>
            </w:pPr>
            <w:r>
              <w:t xml:space="preserve">3.5 hrs</w:t>
            </w:r>
          </w:p>
        </w:tc>
        <w:tc>
          <w:tcPr/>
          <w:p>
            <w:pPr>
              <w:pStyle w:val="Compact"/>
              <w:jc w:val="left"/>
            </w:pPr>
            <w:r>
              <w:t xml:space="preserve">87,500.00</w:t>
            </w:r>
          </w:p>
        </w:tc>
      </w:tr>
      <w:tr>
        <w:tc>
          <w:tcPr/>
          <w:p>
            <w:pPr>
              <w:pStyle w:val="Compact"/>
              <w:jc w:val="left"/>
            </w:pPr>
            <w:r>
              <w:t xml:space="preserve">02</w:t>
            </w:r>
          </w:p>
        </w:tc>
        <w:tc>
          <w:tcPr/>
          <w:p>
            <w:pPr>
              <w:pStyle w:val="Compact"/>
              <w:jc w:val="left"/>
            </w:pPr>
            <w:r>
              <w:t xml:space="preserve">Drafting and negotiation of a multi-party supply contract (approximately 45 pages) governing the distribution of industrial goods within the Moscow metropolitan region, including arbitration clauses under the Moscow Arbitration Court jurisdiction.</w:t>
            </w:r>
          </w:p>
        </w:tc>
        <w:tc>
          <w:tcPr/>
          <w:p>
            <w:pPr>
              <w:pStyle w:val="Compact"/>
              <w:jc w:val="left"/>
            </w:pPr>
            <w:r>
              <w:t xml:space="preserve">10 Mar – 22 Mar 2025</w:t>
            </w:r>
          </w:p>
        </w:tc>
        <w:tc>
          <w:tcPr/>
          <w:p>
            <w:pPr>
              <w:pStyle w:val="Compact"/>
              <w:jc w:val="left"/>
            </w:pPr>
            <w:r>
              <w:t xml:space="preserve">18.0 hrs</w:t>
            </w:r>
          </w:p>
        </w:tc>
        <w:tc>
          <w:tcPr/>
          <w:p>
            <w:pPr>
              <w:pStyle w:val="Compact"/>
              <w:jc w:val="left"/>
            </w:pPr>
            <w:r>
              <w:t xml:space="preserve">450,000.00</w:t>
            </w:r>
          </w:p>
        </w:tc>
      </w:tr>
      <w:tr>
        <w:tc>
          <w:tcPr/>
          <w:p>
            <w:pPr>
              <w:pStyle w:val="Compact"/>
              <w:jc w:val="left"/>
            </w:pPr>
            <w:r>
              <w:t xml:space="preserve">03</w:t>
            </w:r>
          </w:p>
        </w:tc>
        <w:tc>
          <w:tcPr/>
          <w:p>
            <w:pPr>
              <w:pStyle w:val="Compact"/>
              <w:jc w:val="left"/>
            </w:pPr>
            <w:r>
              <w:t xml:space="preserve">Representation of the Client before the Arbitration Court of the City of Moscow (Arbitrazhny Sud g. Moskvy) in Case No. A40-18742/2025, including preparation of the statement of claim, filing of procedural motions, and attendance at two court hearings.</w:t>
            </w:r>
          </w:p>
        </w:tc>
        <w:tc>
          <w:tcPr/>
          <w:p>
            <w:pPr>
              <w:pStyle w:val="Compact"/>
              <w:jc w:val="left"/>
            </w:pPr>
            <w:r>
              <w:t xml:space="preserve">28 Mar – 12 Apr 2025</w:t>
            </w:r>
          </w:p>
        </w:tc>
        <w:tc>
          <w:tcPr/>
          <w:p>
            <w:pPr>
              <w:pStyle w:val="Compact"/>
              <w:jc w:val="left"/>
            </w:pPr>
            <w:r>
              <w:t xml:space="preserve">22.5 hrs</w:t>
            </w:r>
          </w:p>
        </w:tc>
        <w:tc>
          <w:tcPr/>
          <w:p>
            <w:pPr>
              <w:pStyle w:val="Compact"/>
              <w:jc w:val="left"/>
            </w:pPr>
            <w:r>
              <w:t xml:space="preserve">562,500.00</w:t>
            </w:r>
          </w:p>
        </w:tc>
      </w:tr>
      <w:tr>
        <w:tc>
          <w:tcPr/>
          <w:p>
            <w:pPr>
              <w:pStyle w:val="Compact"/>
              <w:jc w:val="left"/>
            </w:pPr>
            <w:r>
              <w:t xml:space="preserve">04</w:t>
            </w:r>
          </w:p>
        </w:tc>
        <w:tc>
          <w:tcPr/>
          <w:p>
            <w:pPr>
              <w:pStyle w:val="Compact"/>
              <w:jc w:val="left"/>
            </w:pPr>
            <w:r>
              <w:t xml:space="preserve">Legal opinion on the tax implications of a proposed cross-border merger involving a subsidiary registered in the Moscow Special Economic Zone, with reference to the Tax Code of the Russian Federation and applicable double taxation treaties.</w:t>
            </w:r>
          </w:p>
        </w:tc>
        <w:tc>
          <w:tcPr/>
          <w:p>
            <w:pPr>
              <w:pStyle w:val="Compact"/>
              <w:jc w:val="left"/>
            </w:pPr>
            <w:r>
              <w:t xml:space="preserve">15 Apr – 02 May 2025</w:t>
            </w:r>
          </w:p>
        </w:tc>
        <w:tc>
          <w:tcPr/>
          <w:p>
            <w:pPr>
              <w:pStyle w:val="Compact"/>
              <w:jc w:val="left"/>
            </w:pPr>
            <w:r>
              <w:t xml:space="preserve">12.0 hrs</w:t>
            </w:r>
          </w:p>
        </w:tc>
        <w:tc>
          <w:tcPr/>
          <w:p>
            <w:pPr>
              <w:pStyle w:val="Compact"/>
              <w:jc w:val="left"/>
            </w:pPr>
            <w:r>
              <w:t xml:space="preserve">300,000.00</w:t>
            </w:r>
          </w:p>
        </w:tc>
      </w:tr>
      <w:tr>
        <w:tc>
          <w:tcPr/>
          <w:p>
            <w:pPr>
              <w:pStyle w:val="Compact"/>
              <w:jc w:val="left"/>
            </w:pPr>
            <w:r>
              <w:t xml:space="preserve">05</w:t>
            </w:r>
          </w:p>
        </w:tc>
        <w:tc>
          <w:tcPr/>
          <w:p>
            <w:pPr>
              <w:pStyle w:val="Compact"/>
              <w:jc w:val="left"/>
            </w:pPr>
            <w:r>
              <w:t xml:space="preserve">Review and amendment of the Client's internal corporate governance documents (Charter, Shareholders' Agreement, Board Resolutions) to ensure alignment with the latest amendments to the Federal Law "On Joint-Stock Companies" and "On Limited Liability Companies" effective in the Russian Federation.</w:t>
            </w:r>
          </w:p>
        </w:tc>
        <w:tc>
          <w:tcPr/>
          <w:p>
            <w:pPr>
              <w:pStyle w:val="Compact"/>
              <w:jc w:val="left"/>
            </w:pPr>
            <w:r>
              <w:t xml:space="preserve">08 May – 20 May 2025</w:t>
            </w:r>
          </w:p>
        </w:tc>
        <w:tc>
          <w:tcPr/>
          <w:p>
            <w:pPr>
              <w:pStyle w:val="Compact"/>
              <w:jc w:val="left"/>
            </w:pPr>
            <w:r>
              <w:t xml:space="preserve">14.0 hrs</w:t>
            </w:r>
          </w:p>
        </w:tc>
        <w:tc>
          <w:tcPr/>
          <w:p>
            <w:pPr>
              <w:pStyle w:val="Compact"/>
              <w:jc w:val="left"/>
            </w:pPr>
            <w:r>
              <w:t xml:space="preserve">350,000.00</w:t>
            </w:r>
          </w:p>
        </w:tc>
      </w:tr>
      <w:tr>
        <w:tc>
          <w:tcPr/>
          <w:p>
            <w:pPr>
              <w:pStyle w:val="Compact"/>
              <w:jc w:val="left"/>
            </w:pPr>
            <w:r>
              <w:t xml:space="preserve">06</w:t>
            </w:r>
          </w:p>
        </w:tc>
        <w:tc>
          <w:tcPr/>
          <w:p>
            <w:pPr>
              <w:pStyle w:val="Compact"/>
              <w:jc w:val="left"/>
            </w:pPr>
            <w:r>
              <w:t xml:space="preserve">Preparation and submission of a formal complaint to the Federal Antimonopoly Service of Russia (FAS) on behalf of the Client regarding alleged anti-competitive practices by a competitor operating in the Moscow market.</w:t>
            </w:r>
          </w:p>
        </w:tc>
        <w:tc>
          <w:tcPr/>
          <w:p>
            <w:pPr>
              <w:pStyle w:val="Compact"/>
              <w:jc w:val="left"/>
            </w:pPr>
            <w:r>
              <w:t xml:space="preserve">25 May – 05 Jun 2025</w:t>
            </w:r>
          </w:p>
        </w:tc>
        <w:tc>
          <w:tcPr/>
          <w:p>
            <w:pPr>
              <w:pStyle w:val="Compact"/>
              <w:jc w:val="left"/>
            </w:pPr>
            <w:r>
              <w:t xml:space="preserve">9.5 hrs</w:t>
            </w:r>
          </w:p>
        </w:tc>
        <w:tc>
          <w:tcPr/>
          <w:p>
            <w:pPr>
              <w:pStyle w:val="Compact"/>
              <w:jc w:val="left"/>
            </w:pPr>
            <w:r>
              <w:t xml:space="preserve">237,500.00</w:t>
            </w:r>
          </w:p>
        </w:tc>
      </w:tr>
      <w:tr>
        <w:tc>
          <w:tcPr/>
          <w:p>
            <w:pPr>
              <w:pStyle w:val="Compact"/>
              <w:jc w:val="left"/>
            </w:pPr>
            <w:r>
              <w:t xml:space="preserve">07</w:t>
            </w:r>
          </w:p>
        </w:tc>
        <w:tc>
          <w:tcPr/>
          <w:p>
            <w:pPr>
              <w:pStyle w:val="Compact"/>
              <w:jc w:val="left"/>
            </w:pPr>
            <w:r>
              <w:t xml:space="preserve">Out-of-pocket expenses: court filing fees, certified document copies, courier services within Moscow, and translation of supporting documents from English to Russian (certified translation per Russian Federation standards).</w:t>
            </w:r>
          </w:p>
        </w:tc>
        <w:tc>
          <w:tcPr/>
          <w:p>
            <w:pPr>
              <w:pStyle w:val="Compact"/>
              <w:jc w:val="left"/>
            </w:pPr>
            <w:r>
              <w:t xml:space="preserve">Mar – Jun 2025</w:t>
            </w:r>
          </w:p>
        </w:tc>
        <w:tc>
          <w:tcPr/>
          <w:p>
            <w:pPr>
              <w:pStyle w:val="Compact"/>
              <w:jc w:val="left"/>
            </w:pPr>
            <w:r>
              <w:t xml:space="preserve">N/A</w:t>
            </w:r>
          </w:p>
        </w:tc>
        <w:tc>
          <w:tcPr/>
          <w:p>
            <w:pPr>
              <w:pStyle w:val="Compact"/>
              <w:jc w:val="left"/>
            </w:pPr>
            <w:r>
              <w:t xml:space="preserve">48,200.00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(Professional Legal Fees):</w:t>
            </w:r>
          </w:p>
        </w:tc>
        <w:tc>
          <w:tcPr/>
          <w:p>
            <w:pPr>
              <w:pStyle w:val="Compact"/>
              <w:jc w:val="right"/>
            </w:pPr>
            <w:r>
              <w:t xml:space="preserve">1,987,500.00 RUB</w:t>
            </w:r>
          </w:p>
        </w:tc>
      </w:tr>
      <w:tr>
        <w:tc>
          <w:tcPr/>
          <w:p>
            <w:pPr>
              <w:pStyle w:val="Compact"/>
              <w:jc w:val="left"/>
            </w:pPr>
            <w:r>
              <w:rPr>
                <w:bCs/>
                <w:b/>
              </w:rPr>
              <w:t xml:space="preserve">Out-of-Pocket Expenses:</w:t>
            </w:r>
          </w:p>
        </w:tc>
        <w:tc>
          <w:tcPr/>
          <w:p>
            <w:pPr>
              <w:pStyle w:val="Compact"/>
              <w:jc w:val="right"/>
            </w:pPr>
            <w:r>
              <w:t xml:space="preserve">48,200.00 RUB</w:t>
            </w:r>
          </w:p>
        </w:tc>
      </w:tr>
      <w:tr>
        <w:tc>
          <w:tcPr/>
          <w:p>
            <w:pPr>
              <w:pStyle w:val="Compact"/>
              <w:jc w:val="left"/>
            </w:pPr>
            <w:r>
              <w:rPr>
                <w:bCs/>
                <w:b/>
              </w:rPr>
              <w:t xml:space="preserve">VAT (20% per Russian Tax Code):</w:t>
            </w:r>
          </w:p>
        </w:tc>
        <w:tc>
          <w:tcPr/>
          <w:p>
            <w:pPr>
              <w:pStyle w:val="Compact"/>
              <w:jc w:val="right"/>
            </w:pPr>
            <w:r>
              <w:t xml:space="preserve">409,340.00 RUB</w:t>
            </w:r>
          </w:p>
        </w:tc>
      </w:tr>
      <w:tr>
        <w:tc>
          <w:tcPr/>
          <w:p>
            <w:pPr>
              <w:pStyle w:val="Compact"/>
              <w:jc w:val="left"/>
            </w:pPr>
            <w:r>
              <w:rPr>
                <w:bCs/>
                <w:b/>
              </w:rPr>
              <w:t xml:space="preserve">TOTAL AMOUNT DUE:</w:t>
            </w:r>
          </w:p>
        </w:tc>
        <w:tc>
          <w:tcPr/>
          <w:p>
            <w:pPr>
              <w:pStyle w:val="Compact"/>
              <w:jc w:val="right"/>
            </w:pPr>
            <w:r>
              <w:t xml:space="preserve">2,445,040.00 RUB</w:t>
            </w:r>
          </w:p>
        </w:tc>
      </w:tr>
    </w:tbl>
    <w:p>
      <w:pPr>
        <w:pStyle w:val="BodyText"/>
      </w:pPr>
      <w:r>
        <w:rPr>
          <w:bCs/>
          <w:b/>
        </w:rPr>
        <w:t xml:space="preserve">Amount in words:</w:t>
      </w:r>
      <w:r>
        <w:t xml:space="preserve"> </w:t>
      </w:r>
      <w:r>
        <w:t xml:space="preserve">Two million four hundred forty-five thousand forty rubles 00 kopecks.</w:t>
      </w:r>
    </w:p>
    <w:bookmarkStart w:id="23" w:name="payment-terms-and-conditions"/>
    <w:p>
      <w:pPr>
        <w:pStyle w:val="Heading3"/>
      </w:pPr>
      <w:r>
        <w:t xml:space="preserve">Payment Terms and Conditions</w:t>
      </w:r>
    </w:p>
    <w:p>
      <w:pPr>
        <w:numPr>
          <w:ilvl w:val="0"/>
          <w:numId w:val="1001"/>
        </w:numPr>
        <w:pStyle w:val="Compact"/>
      </w:pPr>
      <w:r>
        <w:rPr>
          <w:bCs/>
          <w:b/>
        </w:rPr>
        <w:t xml:space="preserve">Payment Deadline:</w:t>
      </w:r>
      <w:r>
        <w:t xml:space="preserve"> </w:t>
      </w:r>
      <w:r>
        <w:t xml:space="preserve">The full amount of this Invoice shall be remitted to the Lawyer's designated bank account no later than 30 June 2025. Payment is to be made via bank transfer to: Sberbank, Moscow Branch, Account No. 40702810400000123456, BIC: 044525225, in favor of Kuznetsov &amp; Partners Legal Counsel LLP, INN 7706452183.</w:t>
      </w:r>
    </w:p>
    <w:p>
      <w:pPr>
        <w:numPr>
          <w:ilvl w:val="0"/>
          <w:numId w:val="1001"/>
        </w:numPr>
        <w:pStyle w:val="Compact"/>
      </w:pPr>
      <w:r>
        <w:rPr>
          <w:bCs/>
          <w:b/>
        </w:rPr>
        <w:t xml:space="preserve">Late Payment:</w:t>
      </w:r>
      <w:r>
        <w:t xml:space="preserve"> </w:t>
      </w:r>
      <w:r>
        <w:t xml:space="preserve">In the event of non-payment by the due date, a penalty of 0.1% per calendar day of delay shall accrue on the outstanding balance, in accordance with Article 317.1 of the Civil Code of the Russian Federation and the terms of the Engagement Agreement.</w:t>
      </w:r>
    </w:p>
    <w:p>
      <w:pPr>
        <w:numPr>
          <w:ilvl w:val="0"/>
          <w:numId w:val="1001"/>
        </w:numPr>
        <w:pStyle w:val="Compact"/>
      </w:pPr>
      <w:r>
        <w:rPr>
          <w:bCs/>
          <w:b/>
        </w:rPr>
        <w:t xml:space="preserve">Dispute Resolution:</w:t>
      </w:r>
      <w:r>
        <w:t xml:space="preserve"> </w:t>
      </w:r>
      <w:r>
        <w:t xml:space="preserve">Any disputes arising from or in connection with this Invoice or the underlying legal services shall be resolved exclusively by the Arbitration Court of the City of Moscow, in accordance with the applicable procedural rules of the Russian Federation.</w:t>
      </w:r>
    </w:p>
    <w:p>
      <w:pPr>
        <w:numPr>
          <w:ilvl w:val="0"/>
          <w:numId w:val="1001"/>
        </w:numPr>
        <w:pStyle w:val="Compact"/>
      </w:pPr>
      <w:r>
        <w:rPr>
          <w:bCs/>
          <w:b/>
        </w:rPr>
        <w:t xml:space="preserve">Confidentiality:</w:t>
      </w:r>
      <w:r>
        <w:t xml:space="preserve"> </w:t>
      </w:r>
      <w:r>
        <w:t xml:space="preserve">All information contained in this Invoice and the associated legal services is subject to the attorney-client privilege as established under the Federal Law "On Advocacy and the Advocacy System in the Russian Federation" (No. 63-FZ). Unauthorized disclosure is strictly prohibited.</w:t>
      </w:r>
    </w:p>
    <w:p>
      <w:pPr>
        <w:numPr>
          <w:ilvl w:val="0"/>
          <w:numId w:val="1001"/>
        </w:numPr>
        <w:pStyle w:val="Compact"/>
      </w:pPr>
      <w:r>
        <w:rPr>
          <w:bCs/>
          <w:b/>
        </w:rPr>
        <w:t xml:space="preserve">Invoice Validity:</w:t>
      </w:r>
      <w:r>
        <w:t xml:space="preserve"> </w:t>
      </w:r>
      <w:r>
        <w:t xml:space="preserve">This Invoice constitutes a final and binding statement of fees for the services described herein. Any additional legal services rendered after the date of this Invoice shall be subject to a separate billing document.</w:t>
      </w:r>
    </w:p>
    <w:p>
      <w:pPr>
        <w:numPr>
          <w:ilvl w:val="0"/>
          <w:numId w:val="1001"/>
        </w:numPr>
        <w:pStyle w:val="Compact"/>
      </w:pPr>
      <w:r>
        <w:rPr>
          <w:bCs/>
          <w:b/>
        </w:rPr>
        <w:t xml:space="preserve">Governing Law:</w:t>
      </w:r>
      <w:r>
        <w:t xml:space="preserve"> </w:t>
      </w:r>
      <w:r>
        <w:t xml:space="preserve">This Invoice and all matters relating to the provision of legal services in Moscow, Russia, are governed by and construed in accordance with the laws of the Russian Federation.</w:t>
      </w:r>
    </w:p>
    <w:bookmarkEnd w:id="23"/>
    <w:p>
      <w:pPr>
        <w:pStyle w:val="FirstParagraph"/>
      </w:pPr>
      <w:r>
        <w:rPr>
          <w:bCs/>
          <w:b/>
        </w:rPr>
        <w:t xml:space="preserve">Sergey V. Kuznetsov, Esq.</w:t>
      </w:r>
      <w:r>
        <w:br/>
      </w:r>
      <w:r>
        <w:t xml:space="preserve">Lead Attorney, Kuznetsov &amp; Partners LLP</w:t>
      </w:r>
      <w:r>
        <w:br/>
      </w:r>
      <w:r>
        <w:t xml:space="preserve">Moscow Bar Association License No. 77/1482</w:t>
      </w:r>
      <w:r>
        <w:br/>
      </w:r>
      <w:r>
        <w:t xml:space="preserve">Date: 15 June 2025</w:t>
      </w:r>
    </w:p>
    <w:p>
      <w:pPr>
        <w:pStyle w:val="BodyText"/>
      </w:pPr>
      <w:r>
        <w:rPr>
          <w:bCs/>
          <w:b/>
        </w:rPr>
        <w:t xml:space="preserve">Anna D. Volkova</w:t>
      </w:r>
      <w:r>
        <w:br/>
      </w:r>
      <w:r>
        <w:t xml:space="preserve">Authorized Representative, OOO "Vostok Trading Group"</w:t>
      </w:r>
      <w:r>
        <w:br/>
      </w:r>
      <w:r>
        <w:t xml:space="preserve">Acknowledged and Accepted</w:t>
      </w:r>
      <w:r>
        <w:br/>
      </w:r>
      <w:r>
        <w:t xml:space="preserve">Date: _______________</w:t>
      </w:r>
    </w:p>
    <w:p>
      <w:pPr>
        <w:pStyle w:val="BodyText"/>
      </w:pPr>
      <w:r>
        <w:rPr>
          <w:bCs/>
          <w:b/>
        </w:rPr>
        <w:t xml:space="preserve">Kuznetsov &amp; Partners Legal Counsel LLP</w:t>
      </w:r>
      <w:r>
        <w:t xml:space="preserve"> </w:t>
      </w:r>
      <w:r>
        <w:t xml:space="preserve">— 12 Tverskaya Street, Building 3, Floor 14, Moscow, 125009, Russian Federation</w:t>
      </w:r>
      <w:r>
        <w:br/>
      </w:r>
      <w:r>
        <w:t xml:space="preserve">INN: 7706452183 | OGRN: 1157746012345 | Moscow Bar Association Member Since 2003</w:t>
      </w:r>
      <w:r>
        <w:br/>
      </w:r>
      <w:r>
        <w:t xml:space="preserve">This Invoice is issued in accordance with the Federal Law "On Accounting" (No. 402-FZ) and the applicable regulations of the Federal Tax Service of Russia for the Moscow region.</w:t>
      </w:r>
      <w:r>
        <w:br/>
      </w:r>
      <w:r>
        <w:t xml:space="preserve">© 2025 Kuznetsov &amp; Partners Legal Counsel LLP. All rights reserved. Document generated in Moscow, Russian Federation.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Invoice - Moscow, Russia</dc:title>
  <dc:creator/>
  <dc:language>en</dc:language>
  <cp:keywords/>
  <dcterms:created xsi:type="dcterms:W3CDTF">2026-10-10T07:35:07Z</dcterms:created>
  <dcterms:modified xsi:type="dcterms:W3CDTF">2026-10-10T07:35:07Z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