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l-riyadh-legal-counsel-associates"/>
    <w:p>
      <w:pPr>
        <w:pStyle w:val="Heading1"/>
      </w:pPr>
      <w:r>
        <w:t xml:space="preserve">Al-Riyadh Legal Counsel &amp; Associates</w:t>
      </w:r>
    </w:p>
    <w:p>
      <w:pPr>
        <w:pStyle w:val="FirstParagraph"/>
      </w:pPr>
      <w:r>
        <w:t xml:space="preserve">Registered Lawyer Firm – Kingdom of Saudi Arabia</w:t>
      </w:r>
    </w:p>
    <w:p>
      <w:pPr>
        <w:pStyle w:val="BodyText"/>
      </w:pPr>
      <w:r>
        <w:t xml:space="preserve">Office: King Fahd Road, Al Olaya District, Riyadh 12212, Saudi Arabia</w:t>
      </w:r>
    </w:p>
    <w:p>
      <w:pPr>
        <w:pStyle w:val="BodyText"/>
      </w:pPr>
      <w:r>
        <w:t xml:space="preserve">Phone: +966 11 456 7890 | Email: legal@alriyadh-counsel.sa</w:t>
      </w:r>
    </w:p>
    <w:p>
      <w:pPr>
        <w:pStyle w:val="BodyText"/>
      </w:pPr>
      <w:r>
        <w:t xml:space="preserve">CR No. 1010456789 | Lawyer License No. SA-LAW-2024-0892</w:t>
      </w:r>
    </w:p>
    <w:p>
      <w:pPr>
        <w:pStyle w:val="BodyText"/>
      </w:pPr>
      <w:r>
        <w:t xml:space="preserve">Licensed Lawyer – Saudi Arabia Riyadh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Case File #RLC-2025-1138</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Khalid bin Abdullah Al-Saud</w:t>
      </w:r>
    </w:p>
    <w:p>
      <w:pPr>
        <w:pStyle w:val="BodyText"/>
      </w:pPr>
      <w:r>
        <w:rPr>
          <w:bCs/>
          <w:b/>
        </w:rPr>
        <w:t xml:space="preserve">Company:</w:t>
      </w:r>
      <w:r>
        <w:t xml:space="preserve"> </w:t>
      </w:r>
      <w:r>
        <w:t xml:space="preserve">Al-Saud Trading &amp; Logistics Co.</w:t>
      </w:r>
    </w:p>
    <w:p>
      <w:pPr>
        <w:pStyle w:val="BodyText"/>
      </w:pPr>
      <w:r>
        <w:rPr>
          <w:bCs/>
          <w:b/>
        </w:rPr>
        <w:t xml:space="preserve">Address:</w:t>
      </w:r>
      <w:r>
        <w:t xml:space="preserve"> </w:t>
      </w:r>
      <w:r>
        <w:t xml:space="preserve">Al Malqa District, Riyadh,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+966 55 123 4567</w:t>
      </w:r>
    </w:p>
    <w:bookmarkEnd w:id="22"/>
    <w:bookmarkStart w:id="23" w:name="issued-by-lawyer"/>
    <w:p>
      <w:pPr>
        <w:pStyle w:val="Heading3"/>
      </w:pPr>
      <w:r>
        <w:t xml:space="preserve">Issued By (Lawyer)</w:t>
      </w:r>
    </w:p>
    <w:p>
      <w:pPr>
        <w:pStyle w:val="FirstParagraph"/>
      </w:pPr>
      <w:r>
        <w:rPr>
          <w:bCs/>
          <w:b/>
        </w:rPr>
        <w:t xml:space="preserve">Lawyer Name:</w:t>
      </w:r>
      <w:r>
        <w:t xml:space="preserve"> </w:t>
      </w:r>
      <w:r>
        <w:t xml:space="preserve">Adv. Sarah bint Mohammed Al-Otaibi</w:t>
      </w:r>
    </w:p>
    <w:p>
      <w:pPr>
        <w:pStyle w:val="BodyText"/>
      </w:pPr>
      <w:r>
        <w:rPr>
          <w:bCs/>
          <w:b/>
        </w:rPr>
        <w:t xml:space="preserve">Title:</w:t>
      </w:r>
      <w:r>
        <w:t xml:space="preserve"> </w:t>
      </w:r>
      <w:r>
        <w:t xml:space="preserve">Senior Partner &amp; Lead Lawyer</w:t>
      </w:r>
    </w:p>
    <w:p>
      <w:pPr>
        <w:pStyle w:val="BodyText"/>
      </w:pPr>
      <w:r>
        <w:rPr>
          <w:bCs/>
          <w:b/>
        </w:rPr>
        <w:t xml:space="preserve">Firm:</w:t>
      </w:r>
      <w:r>
        <w:t xml:space="preserve"> </w:t>
      </w:r>
      <w:r>
        <w:t xml:space="preserve">Al-Riyadh Legal Counsel &amp; Associates</w:t>
      </w:r>
    </w:p>
    <w:p>
      <w:pPr>
        <w:pStyle w:val="BodyText"/>
      </w:pPr>
      <w:r>
        <w:rPr>
          <w:bCs/>
          <w:b/>
        </w:rPr>
        <w:t xml:space="preserve">Address:</w:t>
      </w:r>
      <w:r>
        <w:t xml:space="preserve"> </w:t>
      </w:r>
      <w:r>
        <w:t xml:space="preserve">King Fahd Road, Riyadh, Saudi Arabia</w:t>
      </w:r>
    </w:p>
    <w:p>
      <w:pPr>
        <w:pStyle w:val="BodyText"/>
      </w:pPr>
      <w:r>
        <w:rPr>
          <w:bCs/>
          <w:b/>
        </w:rPr>
        <w:t xml:space="preserve">Lawyer License:</w:t>
      </w:r>
      <w:r>
        <w:t xml:space="preserve"> </w:t>
      </w:r>
      <w:r>
        <w:t xml:space="preserve">SA-LAW-2024-0892</w:t>
      </w:r>
    </w:p>
    <w:p>
      <w:pPr>
        <w:pStyle w:val="BodyText"/>
      </w:pPr>
      <w:r>
        <w:rPr>
          <w:bCs/>
          <w:b/>
        </w:rPr>
        <w:t xml:space="preserve">Bar Registration:</w:t>
      </w:r>
      <w:r>
        <w:t xml:space="preserve"> </w:t>
      </w:r>
      <w:r>
        <w:t xml:space="preserve">Riyadh Bar Association #4521</w:t>
      </w:r>
    </w:p>
    <w:bookmarkEnd w:id="23"/>
    <w:bookmarkStart w:id="24" w:name="X0b25b31d720b1c39146bdfeab7a54df653e85de"/>
    <w:p>
      <w:pPr>
        <w:pStyle w:val="Heading3"/>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a third-party supplier. The Lawyer reviewed all relevant documents, identified key legal issues under Saudi commercial law, and prepared a preliminary strategy memorandum for the client.</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Drafting and filing of a formal legal complaint (Dakwa) with the Riyadh Commercial Court. The Lawyer prepared all necessary pleadings, attached supporting evidence, and submitted the case through the Nafith electronic legal platform in Saudi Arabia Riyadh.</w:t>
            </w:r>
          </w:p>
        </w:tc>
        <w:tc>
          <w:tcPr/>
          <w:p>
            <w:pPr>
              <w:pStyle w:val="Compact"/>
              <w:jc w:val="left"/>
            </w:pPr>
            <w:r>
              <w:t xml:space="preserve">05 Jun 2025</w:t>
            </w:r>
          </w:p>
        </w:tc>
        <w:tc>
          <w:tcPr/>
          <w:p>
            <w:pPr>
              <w:pStyle w:val="Compact"/>
              <w:jc w:val="left"/>
            </w:pPr>
            <w:r>
              <w:t xml:space="preserve">6.5</w:t>
            </w:r>
          </w:p>
        </w:tc>
        <w:tc>
          <w:tcPr/>
          <w:p>
            <w:pPr>
              <w:pStyle w:val="Compact"/>
              <w:jc w:val="left"/>
            </w:pPr>
            <w:r>
              <w:t xml:space="preserve">1,500</w:t>
            </w:r>
          </w:p>
        </w:tc>
        <w:tc>
          <w:tcPr/>
          <w:p>
            <w:pPr>
              <w:pStyle w:val="Compact"/>
              <w:jc w:val="left"/>
            </w:pPr>
            <w:r>
              <w:t xml:space="preserve">9,750.00</w:t>
            </w:r>
          </w:p>
        </w:tc>
      </w:tr>
      <w:tr>
        <w:tc>
          <w:tcPr/>
          <w:p>
            <w:pPr>
              <w:pStyle w:val="Compact"/>
              <w:jc w:val="left"/>
            </w:pPr>
            <w:r>
              <w:t xml:space="preserve">3</w:t>
            </w:r>
          </w:p>
        </w:tc>
        <w:tc>
          <w:tcPr/>
          <w:p>
            <w:pPr>
              <w:pStyle w:val="Compact"/>
              <w:jc w:val="left"/>
            </w:pPr>
            <w:r>
              <w:t xml:space="preserve">Representation of the client at the first hearing before the Riyadh Commercial Court. The Lawyer presented oral arguments, cross-examined the opposing party's witnesses, and submitted additional documentary evidence on behalf of the client.</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1,500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Preparation of a comprehensive legal opinion letter regarding the enforceability of arbitration clauses within the disputed contract, referencing the Saudi Arbitration Law and the UNCITRAL Model Law as adopted in Saudi Arabia.</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1,500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Negotiation of a settlement framework with the opposing counsel. The Lawyer conducted two rounds of negotiation meetings in Riyadh, Saudi Arabia, and drafted a proposed settlement agreement for the client's review and approval.</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Administrative and procedural support: translation of Arabic legal documents into English, notarization of client identification documents at the Riyadh Notary Public office, and coordination with the Saudi Ministry of Justice for case status updates.</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1,200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36,900.00 SAR</w:t>
            </w:r>
          </w:p>
        </w:tc>
      </w:tr>
      <w:tr>
        <w:tc>
          <w:tcPr/>
          <w:p>
            <w:pPr>
              <w:pStyle w:val="Compact"/>
              <w:jc w:val="left"/>
            </w:pPr>
            <w:r>
              <w:t xml:space="preserve">Court Filing Fees (Reimbursable)</w:t>
            </w:r>
          </w:p>
        </w:tc>
        <w:tc>
          <w:tcPr/>
          <w:p>
            <w:pPr>
              <w:pStyle w:val="Compact"/>
              <w:jc w:val="right"/>
            </w:pPr>
            <w:r>
              <w:t xml:space="preserve">2,500.00 SAR</w:t>
            </w:r>
          </w:p>
        </w:tc>
      </w:tr>
      <w:tr>
        <w:tc>
          <w:tcPr/>
          <w:p>
            <w:pPr>
              <w:pStyle w:val="Compact"/>
              <w:jc w:val="left"/>
            </w:pPr>
            <w:r>
              <w:t xml:space="preserve">Document Translation &amp; Notarization</w:t>
            </w:r>
          </w:p>
        </w:tc>
        <w:tc>
          <w:tcPr/>
          <w:p>
            <w:pPr>
              <w:pStyle w:val="Compact"/>
              <w:jc w:val="right"/>
            </w:pPr>
            <w:r>
              <w:t xml:space="preserve">1,200.00 SAR</w:t>
            </w:r>
          </w:p>
        </w:tc>
      </w:tr>
      <w:tr>
        <w:tc>
          <w:tcPr/>
          <w:p>
            <w:pPr>
              <w:pStyle w:val="Compact"/>
              <w:jc w:val="left"/>
            </w:pPr>
            <w:r>
              <w:t xml:space="preserve">Travel &amp; Local Transportation (Riyadh)</w:t>
            </w:r>
          </w:p>
        </w:tc>
        <w:tc>
          <w:tcPr/>
          <w:p>
            <w:pPr>
              <w:pStyle w:val="Compact"/>
              <w:jc w:val="right"/>
            </w:pPr>
            <w:r>
              <w:t xml:space="preserve">800.00 SAR</w:t>
            </w:r>
          </w:p>
        </w:tc>
      </w:tr>
      <w:tr>
        <w:tc>
          <w:tcPr/>
          <w:p>
            <w:pPr>
              <w:pStyle w:val="Compact"/>
              <w:jc w:val="left"/>
            </w:pPr>
            <w:r>
              <w:t xml:space="preserve">VAT (15%)</w:t>
            </w:r>
          </w:p>
        </w:tc>
        <w:tc>
          <w:tcPr/>
          <w:p>
            <w:pPr>
              <w:pStyle w:val="Compact"/>
              <w:jc w:val="right"/>
            </w:pPr>
            <w:r>
              <w:t xml:space="preserve">6,285.00 SAR</w:t>
            </w:r>
          </w:p>
        </w:tc>
      </w:tr>
      <w:tr>
        <w:tc>
          <w:tcPr/>
          <w:p>
            <w:pPr>
              <w:pStyle w:val="Compact"/>
              <w:jc w:val="left"/>
            </w:pPr>
            <w:r>
              <w:t xml:space="preserve">TOTAL AMOUNT DUE</w:t>
            </w:r>
          </w:p>
        </w:tc>
        <w:tc>
          <w:tcPr/>
          <w:p>
            <w:pPr>
              <w:pStyle w:val="Compact"/>
              <w:jc w:val="right"/>
            </w:pPr>
            <w:r>
              <w:t xml:space="preserve">47,685.00 SAR</w:t>
            </w:r>
          </w:p>
        </w:tc>
      </w:tr>
    </w:tbl>
    <w:bookmarkEnd w:id="24"/>
    <w:bookmarkStart w:id="25" w:name="payment-terms-conditions-invoice"/>
    <w:p>
      <w:pPr>
        <w:pStyle w:val="Heading3"/>
      </w:pPr>
      <w:r>
        <w:t xml:space="preserve">Payment Terms &amp; Conditions – Invoice</w:t>
      </w:r>
    </w:p>
    <w:p>
      <w:pPr>
        <w:pStyle w:val="FirstParagraph"/>
      </w:pPr>
      <w:r>
        <w:t xml:space="preserve">This Invoice is issued by the above-named Lawyer and legal firm operating in Saudi Arabia Riyadh in accordance with the Professional Services Agreement dated 25 May 2025 between the parties. The total amount due on this Invoice shall be settled within fifteen (15) calendar days from the issue date via bank transfer to the firm's designated account at Al Rajhi Bank, Riyadh Branch (IBAN: SA0380000123456789012345).</w:t>
      </w:r>
    </w:p>
    <w:p>
      <w:pPr>
        <w:pStyle w:val="BodyText"/>
      </w:pPr>
      <w:r>
        <w:t xml:space="preserve">The Lawyer reserves the right to suspend all ongoing legal representation and court appearances in Saudi Arabia Riyadh should payment not be received by the stated due date. Late payments shall incur a penalty of 2% per month as permitted under Saudi commercial regulations.</w:t>
      </w:r>
    </w:p>
    <w:p>
      <w:pPr>
        <w:pStyle w:val="BodyText"/>
      </w:pPr>
      <w:r>
        <w:t xml:space="preserve">All services rendered by the Lawyer are subject to the confidentiality provisions outlined in the retainer agreement. This Invoice does not constitute a guarantee of any specific legal outcome. The Lawyer's professional judgment in Saudi Arabia Riyadh shall be exercised in the best interest of the client in compliance with the Saudi Legal Profession Law and the rules of the Riyadh Bar Association.</w:t>
      </w:r>
    </w:p>
    <w:p>
      <w:pPr>
        <w:pStyle w:val="BodyText"/>
      </w:pPr>
      <w:r>
        <w:t xml:space="preserve">Any disputes arising from this Invoice or the underlying legal services shall be resolved through the competent courts in Riyadh, Saudi Arabia, or by arbitration under the Saudi Center for Commercial Arbitration (SCCA) if mutually agreed upon by both parties.</w:t>
      </w:r>
    </w:p>
    <w:p>
      <w:pPr>
        <w:pStyle w:val="BodyText"/>
      </w:pPr>
      <w:r>
        <w:t xml:space="preserve">This Invoice is valid for ninety (90) days from the date of issue. After this period, the Lawyer may reissue the Invoice with updated rates if applicable. The client is advised to retain a copy of this Invoice for their financial records and tax reporting purposes in Saudi Arabia.</w:t>
      </w:r>
    </w:p>
    <w:bookmarkEnd w:id="25"/>
    <w:p>
      <w:pPr>
        <w:pStyle w:val="BodyText"/>
      </w:pPr>
      <w:r>
        <w:rPr>
          <w:bCs/>
          <w:b/>
        </w:rPr>
        <w:t xml:space="preserve">Al-Riyadh Legal Counsel &amp; Associates</w:t>
      </w:r>
      <w:r>
        <w:t xml:space="preserve"> </w:t>
      </w:r>
      <w:r>
        <w:t xml:space="preserve">– A Registered Lawyer Firm in Saudi Arabia Riyadh</w:t>
      </w:r>
    </w:p>
    <w:p>
      <w:pPr>
        <w:pStyle w:val="BodyText"/>
      </w:pPr>
      <w:r>
        <w:t xml:space="preserve">King Fahd Road, Al Olaya District, Riyadh 12212, Kingdom of Saudi Arabia</w:t>
      </w:r>
    </w:p>
    <w:p>
      <w:pPr>
        <w:pStyle w:val="BodyText"/>
      </w:pPr>
      <w:r>
        <w:t xml:space="preserve">Phone: +966 11 456 7890 | Email: legal@alriyadh-counsel.sa | Web: www.alriyadh-counsel.sa</w:t>
      </w:r>
    </w:p>
    <w:p>
      <w:pPr>
        <w:pStyle w:val="BodyText"/>
      </w:pPr>
      <w:r>
        <w:t xml:space="preserve">This Invoice was generated electronically and is valid without a physical signature. For verification, contact the issuing Lawyer directly.</w:t>
      </w:r>
    </w:p>
    <w:p>
      <w:pPr>
        <w:pStyle w:val="BodyText"/>
      </w:pPr>
      <w:r>
        <w:t xml:space="preserve">© 2025 Al-Riyadh Legal Counsel &amp; Associates. All rights reserved. Invoice 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Riyadh, Saudi Arabia</dc:title>
  <dc:creator/>
  <dc:language>en</dc:language>
  <cp:keywords/>
  <dcterms:created xsi:type="dcterms:W3CDTF">2026-10-10T06:28:55Z</dcterms:created>
  <dcterms:modified xsi:type="dcterms:W3CDTF">2026-10-10T06:28:55Z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