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Legal</w:t>
      </w:r>
      <w:r>
        <w:t xml:space="preserve"> </w:t>
      </w:r>
      <w:r>
        <w:t xml:space="preserve">Invoice</w:t>
      </w:r>
      <w:r>
        <w:t xml:space="preserve"> </w:t>
      </w:r>
      <w:r>
        <w:t xml:space="preserve">-</w:t>
      </w:r>
      <w:r>
        <w:t xml:space="preserve"> </w:t>
      </w:r>
      <w:r>
        <w:t xml:space="preserve">Law</w:t>
      </w:r>
      <w:r>
        <w:t xml:space="preserve"> </w:t>
      </w:r>
      <w:r>
        <w:t xml:space="preserve">Firm</w:t>
      </w:r>
      <w:r>
        <w:t xml:space="preserve"> </w:t>
      </w:r>
      <w:r>
        <w:t xml:space="preserve">Senegal</w:t>
      </w:r>
      <w:r>
        <w:t xml:space="preserve"> </w:t>
      </w:r>
      <w:r>
        <w:t xml:space="preserve">Dakar</w:t>
      </w:r>
    </w:p>
    <w:bookmarkStart w:id="20" w:name="invoice"/>
    <w:p>
      <w:pPr>
        <w:pStyle w:val="Heading1"/>
      </w:pPr>
      <w:r>
        <w:t xml:space="preserve">INVOICE</w:t>
      </w:r>
    </w:p>
    <w:p>
      <w:pPr>
        <w:pStyle w:val="FirstParagraph"/>
      </w:pPr>
      <w:r>
        <w:t xml:space="preserve">Legal Services — Attorney at Law — Senegal Dakar</w:t>
      </w:r>
    </w:p>
    <w:p>
      <w:pPr>
        <w:pStyle w:val="BodyText"/>
      </w:pPr>
      <w:r>
        <w:t xml:space="preserve">OFFICIAL LEGAL INVOICE</w:t>
      </w:r>
    </w:p>
    <w:bookmarkEnd w:id="20"/>
    <w:bookmarkStart w:id="21" w:name="law-firm-billed-by"/>
    <w:p>
      <w:pPr>
        <w:pStyle w:val="Heading3"/>
      </w:pPr>
      <w:r>
        <w:t xml:space="preserve">Law Firm (Billed By)</w:t>
      </w:r>
    </w:p>
    <w:p>
      <w:pPr>
        <w:pStyle w:val="FirstParagraph"/>
      </w:pPr>
      <w:r>
        <w:rPr>
          <w:bCs/>
          <w:b/>
        </w:rPr>
        <w:t xml:space="preserve">Me. Amadou Diallo &amp; Associates</w:t>
      </w:r>
      <w:r>
        <w:br/>
      </w:r>
      <w:r>
        <w:t xml:space="preserve">Avocats Associés — Barreau de Dakar</w:t>
      </w:r>
      <w:r>
        <w:br/>
      </w:r>
      <w:r>
        <w:t xml:space="preserve">Immeuble Le Grand Dakar, 4</w:t>
      </w:r>
      <w:r>
        <w:rPr>
          <w:vertAlign w:val="superscript"/>
        </w:rPr>
        <w:t xml:space="preserve">e</w:t>
      </w:r>
      <w:r>
        <w:t xml:space="preserve"> </w:t>
      </w:r>
      <w:r>
        <w:t xml:space="preserve">étage, Bureau 412</w:t>
      </w:r>
      <w:r>
        <w:br/>
      </w:r>
      <w:r>
        <w:t xml:space="preserve">Route de Ngaparou, Almadies</w:t>
      </w:r>
      <w:r>
        <w:br/>
      </w:r>
      <w:r>
        <w:t xml:space="preserve">Dakar, Senegal</w:t>
      </w:r>
      <w:r>
        <w:br/>
      </w:r>
      <w:r>
        <w:t xml:space="preserve">Tel: +221 33 864 22 10</w:t>
      </w:r>
      <w:r>
        <w:br/>
      </w:r>
      <w:r>
        <w:t xml:space="preserve">Email: contact@me-diallo-avocats.sn</w:t>
      </w:r>
      <w:r>
        <w:br/>
      </w:r>
      <w:r>
        <w:t xml:space="preserve">RC: SN-DKR-2019-B-4521</w:t>
      </w:r>
      <w:r>
        <w:br/>
      </w:r>
      <w:r>
        <w:t xml:space="preserve">NIF: 004521876345</w:t>
      </w:r>
    </w:p>
    <w:bookmarkEnd w:id="21"/>
    <w:bookmarkStart w:id="22" w:name="client-billed-to"/>
    <w:p>
      <w:pPr>
        <w:pStyle w:val="Heading3"/>
      </w:pPr>
      <w:r>
        <w:t xml:space="preserve">Client (Billed To)</w:t>
      </w:r>
    </w:p>
    <w:p>
      <w:pPr>
        <w:pStyle w:val="FirstParagraph"/>
      </w:pPr>
      <w:r>
        <w:rPr>
          <w:bCs/>
          <w:b/>
        </w:rPr>
        <w:t xml:space="preserve">Société Commerciale Teranga Import-Export SARL</w:t>
      </w:r>
      <w:r>
        <w:br/>
      </w:r>
      <w:r>
        <w:t xml:space="preserve">Zone Industrielle de Guédiawaye</w:t>
      </w:r>
      <w:r>
        <w:br/>
      </w:r>
      <w:r>
        <w:t xml:space="preserve">Lot 27, Rue de l'Industrie</w:t>
      </w:r>
      <w:r>
        <w:br/>
      </w:r>
      <w:r>
        <w:t xml:space="preserve">Guédiawaye, Dakar, Senegal</w:t>
      </w:r>
      <w:r>
        <w:br/>
      </w:r>
      <w:r>
        <w:t xml:space="preserve">Tel: +221 33 821 55 67</w:t>
      </w:r>
      <w:r>
        <w:br/>
      </w:r>
      <w:r>
        <w:t xml:space="preserve">Email: legal@teranga-ie.sn</w:t>
      </w:r>
      <w:r>
        <w:br/>
      </w:r>
      <w:r>
        <w:t xml:space="preserve">RC: SN-DKR-2016-B-1187</w:t>
      </w:r>
      <w:r>
        <w:br/>
      </w:r>
      <w:r>
        <w:t xml:space="preserve">NIF: 003187625498</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Invoice Number:</w:t>
            </w:r>
          </w:p>
        </w:tc>
        <w:tc>
          <w:tcPr/>
          <w:p>
            <w:pPr>
              <w:pStyle w:val="Compact"/>
              <w:jc w:val="left"/>
            </w:pPr>
            <w:r>
              <w:t xml:space="preserve">INV-2025-00347</w:t>
            </w:r>
          </w:p>
        </w:tc>
        <w:tc>
          <w:tcPr/>
          <w:p>
            <w:pPr>
              <w:pStyle w:val="Compact"/>
              <w:jc w:val="left"/>
            </w:pPr>
            <w:r>
              <w:t xml:space="preserve">Invoice Date:</w:t>
            </w:r>
          </w:p>
        </w:tc>
        <w:tc>
          <w:tcPr/>
          <w:p>
            <w:pPr>
              <w:pStyle w:val="Compact"/>
              <w:jc w:val="left"/>
            </w:pPr>
            <w:r>
              <w:t xml:space="preserve">14 June 2025</w:t>
            </w:r>
          </w:p>
        </w:tc>
      </w:tr>
      <w:tr>
        <w:tc>
          <w:tcPr/>
          <w:p>
            <w:pPr>
              <w:pStyle w:val="Compact"/>
              <w:jc w:val="left"/>
            </w:pPr>
            <w:r>
              <w:t xml:space="preserve">Due Date:</w:t>
            </w:r>
          </w:p>
        </w:tc>
        <w:tc>
          <w:tcPr/>
          <w:p>
            <w:pPr>
              <w:pStyle w:val="Compact"/>
              <w:jc w:val="left"/>
            </w:pPr>
            <w:r>
              <w:t xml:space="preserve">14 July 2025 (30 days)</w:t>
            </w:r>
          </w:p>
        </w:tc>
        <w:tc>
          <w:tcPr/>
          <w:p>
            <w:pPr>
              <w:pStyle w:val="Compact"/>
              <w:jc w:val="left"/>
            </w:pPr>
            <w:r>
              <w:t xml:space="preserve">Reference File:</w:t>
            </w:r>
          </w:p>
        </w:tc>
        <w:tc>
          <w:tcPr/>
          <w:p>
            <w:pPr>
              <w:pStyle w:val="Compact"/>
              <w:jc w:val="left"/>
            </w:pPr>
            <w:r>
              <w:t xml:space="preserve">MDA-2025-TER-089</w:t>
            </w:r>
          </w:p>
        </w:tc>
      </w:tr>
      <w:tr>
        <w:tc>
          <w:tcPr/>
          <w:p>
            <w:pPr>
              <w:pStyle w:val="Compact"/>
              <w:jc w:val="left"/>
            </w:pPr>
            <w:r>
              <w:t xml:space="preserve">Payment Currency:</w:t>
            </w:r>
          </w:p>
        </w:tc>
        <w:tc>
          <w:tcPr/>
          <w:p>
            <w:pPr>
              <w:pStyle w:val="Compact"/>
              <w:jc w:val="left"/>
            </w:pPr>
            <w:r>
              <w:t xml:space="preserve">XOF (West African CFA Franc)</w:t>
            </w:r>
          </w:p>
        </w:tc>
        <w:tc>
          <w:tcPr/>
          <w:p>
            <w:pPr>
              <w:pStyle w:val="Compact"/>
              <w:jc w:val="left"/>
            </w:pPr>
            <w:r>
              <w:t xml:space="preserve">Payment Method:</w:t>
            </w:r>
          </w:p>
        </w:tc>
        <w:tc>
          <w:tcPr/>
          <w:p>
            <w:pPr>
              <w:pStyle w:val="Compact"/>
              <w:jc w:val="left"/>
            </w:pPr>
            <w:r>
              <w:t xml:space="preserve">Bank Transfer / Cheque</w:t>
            </w:r>
          </w:p>
        </w:tc>
      </w:tr>
    </w:tbl>
    <w:bookmarkStart w:id="24" w:name="description-of-legal-services-rendered"/>
    <w:p>
      <w:pPr>
        <w:pStyle w:val="Heading2"/>
      </w:pPr>
      <w:r>
        <w:t xml:space="preserve">Description of Legal Services Rendered</w:t>
      </w:r>
    </w:p>
    <w:p>
      <w:pPr>
        <w:pStyle w:val="FirstParagraph"/>
      </w:pPr>
      <w:r>
        <w:t xml:space="preserve">The undersigned Lawyer, Me. Amadou Diallo, registered with the Barreau de Dakar (Bar Association of Dakar, Senegal), hereby issues this Invoice for professional legal services rendered to the above-named Client during the period of 1 March 2025 through 31 May 2025. All services were performed in accordance with the Code de Procédure Civile et Commerciale de la République du Sénégal and the professional ethics code governing Lawyers in Senegal.</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Legal Service</w:t>
            </w:r>
          </w:p>
        </w:tc>
        <w:tc>
          <w:tcPr/>
          <w:p>
            <w:pPr>
              <w:pStyle w:val="Compact"/>
              <w:jc w:val="left"/>
            </w:pPr>
            <w:r>
              <w:t xml:space="preserve">Hours / Units</w:t>
            </w:r>
          </w:p>
        </w:tc>
        <w:tc>
          <w:tcPr/>
          <w:p>
            <w:pPr>
              <w:pStyle w:val="Compact"/>
              <w:jc w:val="left"/>
            </w:pPr>
            <w:r>
              <w:t xml:space="preserve">Rate (XOF)</w:t>
            </w:r>
          </w:p>
        </w:tc>
        <w:tc>
          <w:tcPr/>
          <w:p>
            <w:pPr>
              <w:pStyle w:val="Compact"/>
              <w:jc w:val="left"/>
            </w:pPr>
            <w:r>
              <w:t xml:space="preserve">Amount (XOF)</w:t>
            </w:r>
          </w:p>
        </w:tc>
      </w:tr>
      <w:tr>
        <w:tc>
          <w:tcPr/>
          <w:p>
            <w:pPr>
              <w:pStyle w:val="Compact"/>
              <w:jc w:val="left"/>
            </w:pPr>
            <w:r>
              <w:t xml:space="preserve">01</w:t>
            </w:r>
          </w:p>
        </w:tc>
        <w:tc>
          <w:tcPr/>
          <w:p>
            <w:pPr>
              <w:pStyle w:val="Compact"/>
              <w:jc w:val="left"/>
            </w:pPr>
            <w:r>
              <w:t xml:space="preserve">Corporate legal advisory and contract review for the renegotiation of the master supply agreement with a French trading partner. Includes drafting of amendments, risk assessment memorandum, and two (2) in-person consultation sessions at the firm's office in Almadies, Dakar.</w:t>
            </w:r>
          </w:p>
        </w:tc>
        <w:tc>
          <w:tcPr/>
          <w:p>
            <w:pPr>
              <w:pStyle w:val="Compact"/>
              <w:jc w:val="left"/>
            </w:pPr>
            <w:r>
              <w:t xml:space="preserve">24 hours</w:t>
            </w:r>
          </w:p>
        </w:tc>
        <w:tc>
          <w:tcPr/>
          <w:p>
            <w:pPr>
              <w:pStyle w:val="Compact"/>
              <w:jc w:val="left"/>
            </w:pPr>
            <w:r>
              <w:t xml:space="preserve">75,000</w:t>
            </w:r>
          </w:p>
        </w:tc>
        <w:tc>
          <w:tcPr/>
          <w:p>
            <w:pPr>
              <w:pStyle w:val="Compact"/>
              <w:jc w:val="left"/>
            </w:pPr>
            <w:r>
              <w:t xml:space="preserve">1,800,000</w:t>
            </w:r>
          </w:p>
        </w:tc>
      </w:tr>
      <w:tr>
        <w:tc>
          <w:tcPr/>
          <w:p>
            <w:pPr>
              <w:pStyle w:val="Compact"/>
              <w:jc w:val="left"/>
            </w:pPr>
            <w:r>
              <w:t xml:space="preserve">02</w:t>
            </w:r>
          </w:p>
        </w:tc>
        <w:tc>
          <w:tcPr/>
          <w:p>
            <w:pPr>
              <w:pStyle w:val="Compact"/>
              <w:jc w:val="left"/>
            </w:pPr>
            <w:r>
              <w:t xml:space="preserve">Representation before the Tribunal de Commerce de Dakar in commercial dispute case No. 2025-TC-0412 (Société Commerciale Teranga Import-Export SARL v. TransLogistics Afrique SA). Includes preparation of written pleadings, attendance at three (3) court hearings, and post-hearing legal analysis.</w:t>
            </w:r>
          </w:p>
        </w:tc>
        <w:tc>
          <w:tcPr/>
          <w:p>
            <w:pPr>
              <w:pStyle w:val="Compact"/>
              <w:jc w:val="left"/>
            </w:pPr>
            <w:r>
              <w:t xml:space="preserve">36 hours</w:t>
            </w:r>
          </w:p>
        </w:tc>
        <w:tc>
          <w:tcPr/>
          <w:p>
            <w:pPr>
              <w:pStyle w:val="Compact"/>
              <w:jc w:val="left"/>
            </w:pPr>
            <w:r>
              <w:t xml:space="preserve">85,000</w:t>
            </w:r>
          </w:p>
        </w:tc>
        <w:tc>
          <w:tcPr/>
          <w:p>
            <w:pPr>
              <w:pStyle w:val="Compact"/>
              <w:jc w:val="left"/>
            </w:pPr>
            <w:r>
              <w:t xml:space="preserve">3,060,000</w:t>
            </w:r>
          </w:p>
        </w:tc>
      </w:tr>
      <w:tr>
        <w:tc>
          <w:tcPr/>
          <w:p>
            <w:pPr>
              <w:pStyle w:val="Compact"/>
              <w:jc w:val="left"/>
            </w:pPr>
            <w:r>
              <w:t xml:space="preserve">03</w:t>
            </w:r>
          </w:p>
        </w:tc>
        <w:tc>
          <w:tcPr/>
          <w:p>
            <w:pPr>
              <w:pStyle w:val="Compact"/>
              <w:jc w:val="left"/>
            </w:pPr>
            <w:r>
              <w:t xml:space="preserve">Intellectual property registration and enforcement: Filing and prosecution of two (2) trademark applications before the Organisation Africaine de la Propriété Intellectuelle (OAPI) in Dakar, and drafting of a cease-and-desist letter regarding unauthorized use of the client's brand in the Senegalese market.</w:t>
            </w:r>
          </w:p>
        </w:tc>
        <w:tc>
          <w:tcPr/>
          <w:p>
            <w:pPr>
              <w:pStyle w:val="Compact"/>
              <w:jc w:val="left"/>
            </w:pPr>
            <w:r>
              <w:t xml:space="preserve">18 hours</w:t>
            </w:r>
          </w:p>
        </w:tc>
        <w:tc>
          <w:tcPr/>
          <w:p>
            <w:pPr>
              <w:pStyle w:val="Compact"/>
              <w:jc w:val="left"/>
            </w:pPr>
            <w:r>
              <w:t xml:space="preserve">70,000</w:t>
            </w:r>
          </w:p>
        </w:tc>
        <w:tc>
          <w:tcPr/>
          <w:p>
            <w:pPr>
              <w:pStyle w:val="Compact"/>
              <w:jc w:val="left"/>
            </w:pPr>
            <w:r>
              <w:t xml:space="preserve">1,260,000</w:t>
            </w:r>
          </w:p>
        </w:tc>
      </w:tr>
      <w:tr>
        <w:tc>
          <w:tcPr/>
          <w:p>
            <w:pPr>
              <w:pStyle w:val="Compact"/>
              <w:jc w:val="left"/>
            </w:pPr>
            <w:r>
              <w:t xml:space="preserve">04</w:t>
            </w:r>
          </w:p>
        </w:tc>
        <w:tc>
          <w:tcPr/>
          <w:p>
            <w:pPr>
              <w:pStyle w:val="Compact"/>
              <w:jc w:val="left"/>
            </w:pPr>
            <w:r>
              <w:t xml:space="preserve">Employment law compliance audit: Review of all employment contracts, internal regulations (règlement intérieur), and social security filings with the Caisse Nationale de Sécurité Sociale (CNSS) in Dakar. Preparation of a 45-page compliance report with recommendations for alignment with the Code du Travail du Sénégal (Law No. 87-07 of 29 March 1987, as amended).</w:t>
            </w:r>
          </w:p>
        </w:tc>
        <w:tc>
          <w:tcPr/>
          <w:p>
            <w:pPr>
              <w:pStyle w:val="Compact"/>
              <w:jc w:val="left"/>
            </w:pPr>
            <w:r>
              <w:t xml:space="preserve">30 hours</w:t>
            </w:r>
          </w:p>
        </w:tc>
        <w:tc>
          <w:tcPr/>
          <w:p>
            <w:pPr>
              <w:pStyle w:val="Compact"/>
              <w:jc w:val="left"/>
            </w:pPr>
            <w:r>
              <w:t xml:space="preserve">75,000</w:t>
            </w:r>
          </w:p>
        </w:tc>
        <w:tc>
          <w:tcPr/>
          <w:p>
            <w:pPr>
              <w:pStyle w:val="Compact"/>
              <w:jc w:val="left"/>
            </w:pPr>
            <w:r>
              <w:t xml:space="preserve">2,250,000</w:t>
            </w:r>
          </w:p>
        </w:tc>
      </w:tr>
      <w:tr>
        <w:tc>
          <w:tcPr/>
          <w:p>
            <w:pPr>
              <w:pStyle w:val="Compact"/>
              <w:jc w:val="left"/>
            </w:pPr>
            <w:r>
              <w:t xml:space="preserve">05</w:t>
            </w:r>
          </w:p>
        </w:tc>
        <w:tc>
          <w:tcPr/>
          <w:p>
            <w:pPr>
              <w:pStyle w:val="Compact"/>
              <w:jc w:val="left"/>
            </w:pPr>
            <w:r>
              <w:t xml:space="preserve">Real estate transaction advisory: Due diligence and legal opinion on the acquisition of a 2,400 m² commercial property in the Plateau district of Dakar. Includes title verification at the Service de la Conservation de la Propriété Foncière, drafting of the authentic sale deed (acte authentique), and coordination with the notary for registration.</w:t>
            </w:r>
          </w:p>
        </w:tc>
        <w:tc>
          <w:tcPr/>
          <w:p>
            <w:pPr>
              <w:pStyle w:val="Compact"/>
              <w:jc w:val="left"/>
            </w:pPr>
            <w:r>
              <w:t xml:space="preserve">22 hours</w:t>
            </w:r>
          </w:p>
        </w:tc>
        <w:tc>
          <w:tcPr/>
          <w:p>
            <w:pPr>
              <w:pStyle w:val="Compact"/>
              <w:jc w:val="left"/>
            </w:pPr>
            <w:r>
              <w:t xml:space="preserve">80,000</w:t>
            </w:r>
          </w:p>
        </w:tc>
        <w:tc>
          <w:tcPr/>
          <w:p>
            <w:pPr>
              <w:pStyle w:val="Compact"/>
              <w:jc w:val="left"/>
            </w:pPr>
            <w:r>
              <w:t xml:space="preserve">1,760,000</w:t>
            </w:r>
          </w:p>
        </w:tc>
      </w:tr>
      <w:tr>
        <w:tc>
          <w:tcPr/>
          <w:p>
            <w:pPr>
              <w:pStyle w:val="Compact"/>
              <w:jc w:val="left"/>
            </w:pPr>
            <w:r>
              <w:t xml:space="preserve">06</w:t>
            </w:r>
          </w:p>
        </w:tc>
        <w:tc>
          <w:tcPr/>
          <w:p>
            <w:pPr>
              <w:pStyle w:val="Compact"/>
              <w:jc w:val="left"/>
            </w:pPr>
            <w:r>
              <w:t xml:space="preserve">Regulatory compliance and government liaison: Preparation of administrative filings with the Direction Générale des Impôts (DGI) in Dakar, response to a tax audit notice, and representation before the Commission des Impôts for a contested assessment of corporate income tax (IS) for the 2024 fiscal year.</w:t>
            </w:r>
          </w:p>
        </w:tc>
        <w:tc>
          <w:tcPr/>
          <w:p>
            <w:pPr>
              <w:pStyle w:val="Compact"/>
              <w:jc w:val="left"/>
            </w:pPr>
            <w:r>
              <w:t xml:space="preserve">16 hours</w:t>
            </w:r>
          </w:p>
        </w:tc>
        <w:tc>
          <w:tcPr/>
          <w:p>
            <w:pPr>
              <w:pStyle w:val="Compact"/>
              <w:jc w:val="left"/>
            </w:pPr>
            <w:r>
              <w:t xml:space="preserve">85,000</w:t>
            </w:r>
          </w:p>
        </w:tc>
        <w:tc>
          <w:tcPr/>
          <w:p>
            <w:pPr>
              <w:pStyle w:val="Compact"/>
              <w:jc w:val="left"/>
            </w:pPr>
            <w:r>
              <w:t xml:space="preserve">1,360,000</w:t>
            </w:r>
          </w:p>
        </w:tc>
      </w:tr>
      <w:tr>
        <w:tc>
          <w:tcPr/>
          <w:p>
            <w:pPr>
              <w:pStyle w:val="Compact"/>
              <w:jc w:val="left"/>
            </w:pPr>
            <w:r>
              <w:t xml:space="preserve">07</w:t>
            </w:r>
          </w:p>
        </w:tc>
        <w:tc>
          <w:tcPr/>
          <w:p>
            <w:pPr>
              <w:pStyle w:val="Compact"/>
              <w:jc w:val="left"/>
            </w:pPr>
            <w:r>
              <w:t xml:space="preserve">Disbursement of court fees, filing fees, and official stamp duties (droits de timbre) paid on behalf of the Client before the Tribunal de Commerce de Dakar and the OAPI office in Dakar.</w:t>
            </w:r>
          </w:p>
        </w:tc>
        <w:tc>
          <w:tcPr/>
          <w:p>
            <w:pPr>
              <w:pStyle w:val="Compact"/>
              <w:jc w:val="left"/>
            </w:pPr>
            <w:r>
              <w:t xml:space="preserve">1 lot</w:t>
            </w:r>
          </w:p>
        </w:tc>
        <w:tc>
          <w:tcPr/>
          <w:p>
            <w:pPr>
              <w:pStyle w:val="Compact"/>
              <w:jc w:val="left"/>
            </w:pPr>
            <w:r>
              <w:t xml:space="preserve">1</w:t>
            </w:r>
          </w:p>
        </w:tc>
        <w:tc>
          <w:tcPr/>
          <w:p>
            <w:pPr>
              <w:pStyle w:val="Compact"/>
              <w:jc w:val="left"/>
            </w:pPr>
            <w:r>
              <w:t xml:space="preserve">485,000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(Fees &amp; Disbursements)</w:t>
            </w:r>
          </w:p>
        </w:tc>
        <w:tc>
          <w:tcPr/>
          <w:p>
            <w:pPr>
              <w:pStyle w:val="Compact"/>
              <w:jc w:val="left"/>
            </w:pPr>
            <w:r>
              <w:t xml:space="preserve">11,975,000 XOF</w:t>
            </w:r>
          </w:p>
        </w:tc>
      </w:tr>
      <w:tr>
        <w:tc>
          <w:tcPr/>
          <w:p>
            <w:pPr>
              <w:pStyle w:val="Compact"/>
              <w:jc w:val="left"/>
            </w:pPr>
            <w:r>
              <w:t xml:space="preserve">TVA (VAT) — 18% (Senegal)</w:t>
            </w:r>
          </w:p>
        </w:tc>
        <w:tc>
          <w:tcPr/>
          <w:p>
            <w:pPr>
              <w:pStyle w:val="Compact"/>
              <w:jc w:val="left"/>
            </w:pPr>
            <w:r>
              <w:t xml:space="preserve">2,155,500 XOF</w:t>
            </w:r>
          </w:p>
        </w:tc>
      </w:tr>
      <w:tr>
        <w:tc>
          <w:tcPr/>
          <w:p>
            <w:pPr>
              <w:pStyle w:val="Compact"/>
              <w:jc w:val="left"/>
            </w:pPr>
            <w:r>
              <w:t xml:space="preserve">Withholding Tax (Retenue à la source) — 5%</w:t>
            </w:r>
          </w:p>
        </w:tc>
        <w:tc>
          <w:tcPr/>
          <w:p>
            <w:pPr>
              <w:pStyle w:val="Compact"/>
              <w:jc w:val="left"/>
            </w:pPr>
            <w:r>
              <w:t xml:space="preserve">(598,750) XOF</w:t>
            </w:r>
          </w:p>
        </w:tc>
      </w:tr>
      <w:tr>
        <w:tc>
          <w:tcPr/>
          <w:p>
            <w:pPr>
              <w:pStyle w:val="Compact"/>
              <w:jc w:val="left"/>
            </w:pPr>
            <w:r>
              <w:t xml:space="preserve">NET AMOUNT DUE</w:t>
            </w:r>
          </w:p>
        </w:tc>
        <w:tc>
          <w:tcPr/>
          <w:p>
            <w:pPr>
              <w:pStyle w:val="Compact"/>
              <w:jc w:val="left"/>
            </w:pPr>
            <w:r>
              <w:t xml:space="preserve">13,531,750 XOF</w:t>
            </w:r>
          </w:p>
        </w:tc>
      </w:tr>
    </w:tbl>
    <w:bookmarkStart w:id="23" w:name="payment-terms-conditions"/>
    <w:p>
      <w:pPr>
        <w:pStyle w:val="Heading3"/>
      </w:pPr>
      <w:r>
        <w:t xml:space="preserve">Payment Terms &amp; Conditions</w:t>
      </w:r>
    </w:p>
    <w:p>
      <w:pPr>
        <w:numPr>
          <w:ilvl w:val="0"/>
          <w:numId w:val="1001"/>
        </w:numPr>
        <w:pStyle w:val="Compact"/>
      </w:pPr>
      <w:r>
        <w:t xml:space="preserve">This Invoice must be settled in full within thirty (30) calendar days from the date of issuance, i.e., no later than 14 July 2025. Payment is to be made in West African CFA Francs (XOF) via bank transfer to the account details below, or by cheque drawn on any bank operating in Dakar, Senegal.</w:t>
      </w:r>
    </w:p>
    <w:p>
      <w:pPr>
        <w:numPr>
          <w:ilvl w:val="0"/>
          <w:numId w:val="1001"/>
        </w:numPr>
        <w:pStyle w:val="Compact"/>
      </w:pPr>
      <w:r>
        <w:t xml:space="preserve">Bank Details — Banque Atlantique Sénégal, Agence Almadies, Dakar. Account Name: Me. Amadou Diallo &amp; Associés. RIB: 00012 3456 7890123456 78. SWIFT: BATS SN DK.</w:t>
      </w:r>
    </w:p>
    <w:p>
      <w:pPr>
        <w:numPr>
          <w:ilvl w:val="0"/>
          <w:numId w:val="1001"/>
        </w:numPr>
        <w:pStyle w:val="Compact"/>
      </w:pPr>
      <w:r>
        <w:t xml:space="preserve">In the event of late payment, a penalty interest of 1.5% per month (18% per annum) shall apply on the outstanding balance, in accordance with Article 1231-1 of the Code civil applicable in Senegal and the terms of the retainer agreement signed on 15 February 2025.</w:t>
      </w:r>
    </w:p>
    <w:p>
      <w:pPr>
        <w:numPr>
          <w:ilvl w:val="0"/>
          <w:numId w:val="1001"/>
        </w:numPr>
        <w:pStyle w:val="Compact"/>
      </w:pPr>
      <w:r>
        <w:t xml:space="preserve">The 5% withholding tax (retenue à la source) has been deducted at source in compliance with the Code Général des Impôts du Sénégal. The Client is responsible for remitting this amount to the Direction Générale des Impôts within the statutory deadline.</w:t>
      </w:r>
    </w:p>
    <w:p>
      <w:pPr>
        <w:numPr>
          <w:ilvl w:val="0"/>
          <w:numId w:val="1001"/>
        </w:numPr>
        <w:pStyle w:val="Compact"/>
      </w:pPr>
      <w:r>
        <w:t xml:space="preserve">All legal services described in this Invoice were performed by a duly qualified Lawyer (Avocat) registered on the Roll of the Barreau de Dakar, under the supervision of Me. Amadou Diallo, and in strict compliance with the Décret n° 96-744 du 28 décembre 1996 portant statut de la profession d'avocat en République du Sénégal.</w:t>
      </w:r>
    </w:p>
    <w:p>
      <w:pPr>
        <w:numPr>
          <w:ilvl w:val="0"/>
          <w:numId w:val="1001"/>
        </w:numPr>
        <w:pStyle w:val="Compact"/>
      </w:pPr>
      <w:r>
        <w:t xml:space="preserve">This Invoice constitutes a final and binding statement of fees. Any additional services rendered beyond the scope described herein shall be subject to a separate Invoice and prior written authorization from the Client.</w:t>
      </w:r>
    </w:p>
    <w:p>
      <w:pPr>
        <w:numPr>
          <w:ilvl w:val="0"/>
          <w:numId w:val="1001"/>
        </w:numPr>
        <w:pStyle w:val="Compact"/>
      </w:pPr>
      <w:r>
        <w:t xml:space="preserve">Confidentiality: All information contained in this Invoice and in the underlying legal file is strictly confidential and protected under the professional secrecy obligation (secret professionnel) binding every Lawyer in Senegal under Article 10 of the Avocats' Code of Ethics.</w:t>
      </w:r>
    </w:p>
    <w:bookmarkEnd w:id="23"/>
    <w:p>
      <w:pPr>
        <w:pStyle w:val="FirstParagraph"/>
      </w:pPr>
      <w:r>
        <w:rPr>
          <w:bCs/>
          <w:b/>
        </w:rPr>
        <w:t xml:space="preserve">Me. Amadou Diallo</w:t>
      </w:r>
      <w:r>
        <w:br/>
      </w:r>
      <w:r>
        <w:t xml:space="preserve">Lawyer — Barreau de Dakar</w:t>
      </w:r>
      <w:r>
        <w:br/>
      </w:r>
      <w:r>
        <w:t xml:space="preserve">For and on behalf of the Firm</w:t>
      </w:r>
      <w:r>
        <w:br/>
      </w:r>
      <w:r>
        <w:rPr>
          <w:iCs/>
          <w:i/>
        </w:rPr>
        <w:t xml:space="preserve">Signed in Dakar, Senegal, on 14 June 2025</w:t>
      </w:r>
    </w:p>
    <w:p>
      <w:pPr>
        <w:pStyle w:val="BodyText"/>
      </w:pPr>
      <w:r>
        <w:rPr>
          <w:bCs/>
          <w:b/>
        </w:rPr>
        <w:t xml:space="preserve">Client Acknowledgment</w:t>
      </w:r>
      <w:r>
        <w:br/>
      </w:r>
      <w:r>
        <w:t xml:space="preserve">Société Commerciale Teranga Import-Export SARL</w:t>
      </w:r>
      <w:r>
        <w:br/>
      </w:r>
      <w:r>
        <w:t xml:space="preserve">Authorized Signatory</w:t>
      </w:r>
      <w:r>
        <w:br/>
      </w:r>
      <w:r>
        <w:rPr>
          <w:iCs/>
          <w:i/>
        </w:rPr>
        <w:t xml:space="preserve">Date: ______________________</w:t>
      </w:r>
    </w:p>
    <w:p>
      <w:pPr>
        <w:pStyle w:val="BodyText"/>
      </w:pPr>
      <w:r>
        <w:rPr>
          <w:bCs/>
          <w:b/>
        </w:rPr>
        <w:t xml:space="preserve">Me. Amadou Diallo &amp; Associés</w:t>
      </w:r>
      <w:r>
        <w:t xml:space="preserve"> </w:t>
      </w:r>
      <w:r>
        <w:t xml:space="preserve">— Avocats Associés — Barreau de Dakar, Senegal</w:t>
      </w:r>
    </w:p>
    <w:p>
      <w:pPr>
        <w:pStyle w:val="BodyText"/>
      </w:pPr>
      <w:r>
        <w:t xml:space="preserve">Immeuble Le Grand Dakar, 4</w:t>
      </w:r>
      <w:r>
        <w:rPr>
          <w:vertAlign w:val="superscript"/>
        </w:rPr>
        <w:t xml:space="preserve">e</w:t>
      </w:r>
      <w:r>
        <w:t xml:space="preserve"> </w:t>
      </w:r>
      <w:r>
        <w:t xml:space="preserve">étage, Bureau 412, Route de Ngaparou, Almadies, Dakar — Senegal</w:t>
      </w:r>
    </w:p>
    <w:p>
      <w:pPr>
        <w:pStyle w:val="BodyText"/>
      </w:pPr>
      <w:r>
        <w:t xml:space="preserve">Tel: +221 33 864 22 10  |  Email: contact@me-diallo-avocats.sn  |  RC: SN-DKR-2019-B-4521  |  NIF: 004521876345</w:t>
      </w:r>
    </w:p>
    <w:p>
      <w:pPr>
        <w:pStyle w:val="BodyText"/>
      </w:pPr>
      <w:r>
        <w:t xml:space="preserve">This Invoice is issued in two (2) original copies. One copy is retained by the Law Firm in Dakar, Senegal, and one copy is delivered to the Client. This document is valid as a fiscal invoice under the tax regulations of the République du Sénégal. © 2025 Me. Amadou Diallo &amp; Associés.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Invoice - Law Firm Senegal Dakar</dc:title>
  <dc:creator/>
  <dc:language>en</dc:language>
  <cp:keywords/>
  <dcterms:created xsi:type="dcterms:W3CDTF">2026-10-10T08:00:53Z</dcterms:created>
  <dcterms:modified xsi:type="dcterms:W3CDTF">2026-10-10T08:00:53Z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