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invoice"/>
    <w:p>
      <w:pPr>
        <w:pStyle w:val="Heading1"/>
      </w:pPr>
      <w:r>
        <w:t xml:space="preserve">INVOICE</w:t>
      </w:r>
    </w:p>
    <w:p>
      <w:pPr>
        <w:pStyle w:val="FirstParagraph"/>
      </w:pPr>
      <w:r>
        <w:t xml:space="preserve">Professional Legal Services — Attorney &amp; Legal Practitioner</w:t>
      </w:r>
    </w:p>
    <w:p>
      <w:pPr>
        <w:pStyle w:val="BodyText"/>
      </w:pPr>
      <w:r>
        <w:t xml:space="preserve">This Invoice constitutes a formal demand for payment of professional legal fees rendered by the undersigned Lawyer in the Republic of South Africa, Johannesburg.</w:t>
      </w:r>
    </w:p>
    <w:bookmarkEnd w:id="20"/>
    <w:bookmarkStart w:id="21" w:name="lawyer-law-firm"/>
    <w:p>
      <w:pPr>
        <w:pStyle w:val="Heading3"/>
      </w:pPr>
      <w:r>
        <w:t xml:space="preserve">Lawyer / Law Firm</w:t>
      </w:r>
    </w:p>
    <w:p>
      <w:pPr>
        <w:pStyle w:val="FirstParagraph"/>
      </w:pPr>
      <w:r>
        <w:rPr>
          <w:bCs/>
          <w:b/>
        </w:rPr>
        <w:t xml:space="preserve">Thabo M. Nkosi, Attorney &amp; Advocate</w:t>
      </w:r>
    </w:p>
    <w:p>
      <w:pPr>
        <w:pStyle w:val="BodyText"/>
      </w:pPr>
      <w:r>
        <w:t xml:space="preserve">Nkosi &amp; Partners Legal Practitioners</w:t>
      </w:r>
    </w:p>
    <w:p>
      <w:pPr>
        <w:pStyle w:val="BodyText"/>
      </w:pPr>
      <w:r>
        <w:t xml:space="preserve">14th Floor, Nelson Mandela Square</w:t>
      </w:r>
    </w:p>
    <w:p>
      <w:pPr>
        <w:pStyle w:val="BodyText"/>
      </w:pPr>
      <w:r>
        <w:t xml:space="preserve">155 Rivonia Road, Sandton</w:t>
      </w:r>
    </w:p>
    <w:p>
      <w:pPr>
        <w:pStyle w:val="BodyText"/>
      </w:pPr>
      <w:r>
        <w:t xml:space="preserve">Johannesburg, 2196, South Africa</w:t>
      </w:r>
    </w:p>
    <w:p>
      <w:pPr>
        <w:pStyle w:val="BodyText"/>
      </w:pPr>
      <w:r>
        <w:t xml:space="preserve">Tel: +27 (0)11 447 8200</w:t>
      </w:r>
    </w:p>
    <w:p>
      <w:pPr>
        <w:pStyle w:val="BodyText"/>
      </w:pPr>
      <w:r>
        <w:t xml:space="preserve">Email: billing@nkosilegal.co.za</w:t>
      </w:r>
    </w:p>
    <w:p>
      <w:pPr>
        <w:pStyle w:val="BodyText"/>
      </w:pPr>
      <w:r>
        <w:t xml:space="preserve">Bar Number: 2003/FA/18472</w:t>
      </w:r>
    </w:p>
    <w:p>
      <w:pPr>
        <w:pStyle w:val="BodyText"/>
      </w:pPr>
      <w:r>
        <w:t xml:space="preserve">VAT Registration: 4930287651</w:t>
      </w:r>
    </w:p>
    <w:bookmarkEnd w:id="21"/>
    <w:bookmarkStart w:id="22" w:name="client-matter"/>
    <w:p>
      <w:pPr>
        <w:pStyle w:val="Heading3"/>
      </w:pPr>
      <w:r>
        <w:t xml:space="preserve">Client / Matter</w:t>
      </w:r>
    </w:p>
    <w:p>
      <w:pPr>
        <w:pStyle w:val="FirstParagraph"/>
      </w:pPr>
      <w:r>
        <w:rPr>
          <w:bCs/>
          <w:b/>
        </w:rPr>
        <w:t xml:space="preserve">Mr. Daniel R. van der Merwe</w:t>
      </w:r>
    </w:p>
    <w:p>
      <w:pPr>
        <w:pStyle w:val="BodyText"/>
      </w:pPr>
      <w:r>
        <w:t xml:space="preserve">Van der Merwe Holdings (Pty) Ltd</w:t>
      </w:r>
    </w:p>
    <w:p>
      <w:pPr>
        <w:pStyle w:val="BodyText"/>
      </w:pPr>
      <w:r>
        <w:t xml:space="preserve">Unit 7, 220 West Street</w:t>
      </w:r>
    </w:p>
    <w:p>
      <w:pPr>
        <w:pStyle w:val="BodyText"/>
      </w:pPr>
      <w:r>
        <w:t xml:space="preserve">Braamfontein, Johannesburg</w:t>
      </w:r>
    </w:p>
    <w:p>
      <w:pPr>
        <w:pStyle w:val="BodyText"/>
      </w:pPr>
      <w:r>
        <w:t xml:space="preserve">South Africa, 2001</w:t>
      </w:r>
    </w:p>
    <w:p>
      <w:pPr>
        <w:pStyle w:val="BodyText"/>
      </w:pPr>
      <w:r>
        <w:t xml:space="preserve">Client File No: VDM-2024-0387</w:t>
      </w:r>
    </w:p>
    <w:p>
      <w:pPr>
        <w:pStyle w:val="BodyText"/>
      </w:pPr>
      <w:r>
        <w:t xml:space="preserve">Matter: Commercial Contract Dispute</w:t>
      </w:r>
    </w:p>
    <w:p>
      <w:pPr>
        <w:pStyle w:val="BodyText"/>
      </w:pPr>
      <w:r>
        <w:t xml:space="preserve">Invoice No: NK-INV-2024-01192</w:t>
      </w:r>
    </w:p>
    <w:bookmarkEnd w:id="22"/>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Payment Method:</w:t>
      </w:r>
      <w:r>
        <w:t xml:space="preserve"> </w:t>
      </w:r>
      <w:r>
        <w:t xml:space="preserve">EFT / Cheque</w:t>
      </w:r>
    </w:p>
    <w:p>
      <w:pPr>
        <w:pStyle w:val="BodyText"/>
      </w:pPr>
      <w:r>
        <w:rPr>
          <w:bCs/>
          <w:b/>
        </w:rPr>
        <w:t xml:space="preserve">Reference:</w:t>
      </w:r>
      <w:r>
        <w:t xml:space="preserve"> </w:t>
      </w:r>
      <w:r>
        <w:t xml:space="preserve">NK-INV-2024-01192</w:t>
      </w:r>
    </w:p>
    <w:p>
      <w:pPr>
        <w:pStyle w:val="BodyText"/>
      </w:pPr>
      <w:r>
        <w:rPr>
          <w:bCs/>
          <w:b/>
        </w:rPr>
        <w:t xml:space="preserve">Period Covered:</w:t>
      </w:r>
      <w:r>
        <w:t xml:space="preserve"> </w:t>
      </w:r>
      <w:r>
        <w:t xml:space="preserve">01 May 2025 – 31 May 2025</w:t>
      </w:r>
    </w:p>
    <w:p>
      <w:pPr>
        <w:pStyle w:val="BodyText"/>
      </w:pPr>
      <w:r>
        <w:rPr>
          <w:bCs/>
          <w:b/>
        </w:rPr>
        <w:t xml:space="preserve">Currency:</w:t>
      </w:r>
      <w:r>
        <w:t xml:space="preserve"> </w:t>
      </w:r>
      <w:r>
        <w:t xml:space="preserve">South African Rand (ZAR)</w:t>
      </w:r>
    </w:p>
    <w:bookmarkStart w:id="23"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consultation and case assessment regarding the commercial contract dispute between Van der Merwe Holdings (Pty) Ltd and Apex Distribution (Pty) Ltd. The Lawyer reviewed all correspondence, contract documents, and preliminary evidence to determine the legal strategy and jurisdictional applicability under South African contract law.</w:t>
            </w:r>
          </w:p>
        </w:tc>
        <w:tc>
          <w:tcPr/>
          <w:p>
            <w:pPr>
              <w:pStyle w:val="Compact"/>
              <w:jc w:val="left"/>
            </w:pPr>
            <w:r>
              <w:t xml:space="preserve">02 May 2025</w:t>
            </w:r>
          </w:p>
        </w:tc>
        <w:tc>
          <w:tcPr/>
          <w:p>
            <w:pPr>
              <w:pStyle w:val="Compact"/>
              <w:jc w:val="left"/>
            </w:pPr>
            <w:r>
              <w:t xml:space="preserve">3.5</w:t>
            </w:r>
          </w:p>
        </w:tc>
        <w:tc>
          <w:tcPr/>
          <w:p>
            <w:pPr>
              <w:pStyle w:val="Compact"/>
              <w:jc w:val="left"/>
            </w:pPr>
            <w:r>
              <w:t xml:space="preserve">R 2,200</w:t>
            </w:r>
          </w:p>
        </w:tc>
        <w:tc>
          <w:tcPr/>
          <w:p>
            <w:pPr>
              <w:pStyle w:val="Compact"/>
              <w:jc w:val="left"/>
            </w:pPr>
            <w:r>
              <w:t xml:space="preserve">R 7,700.00</w:t>
            </w:r>
          </w:p>
        </w:tc>
      </w:tr>
      <w:tr>
        <w:tc>
          <w:tcPr/>
          <w:p>
            <w:pPr>
              <w:pStyle w:val="Compact"/>
              <w:jc w:val="left"/>
            </w:pPr>
            <w:r>
              <w:t xml:space="preserve">02</w:t>
            </w:r>
          </w:p>
        </w:tc>
        <w:tc>
          <w:tcPr/>
          <w:p>
            <w:pPr>
              <w:pStyle w:val="Compact"/>
              <w:jc w:val="left"/>
            </w:pPr>
            <w:r>
              <w:t xml:space="preserve">Preparation and filing of a Notice of Intention to Litigate at the High Court of South Africa, Johannesburg Division. The Lawyer drafted the formal legal notice, ensured compliance with the National Credit Act and the Rules of Court, and arranged for service of process on the opposing party's legal representatives.</w:t>
            </w:r>
          </w:p>
        </w:tc>
        <w:tc>
          <w:tcPr/>
          <w:p>
            <w:pPr>
              <w:pStyle w:val="Compact"/>
              <w:jc w:val="left"/>
            </w:pPr>
            <w:r>
              <w:t xml:space="preserve">06 May 2025</w:t>
            </w:r>
          </w:p>
        </w:tc>
        <w:tc>
          <w:tcPr/>
          <w:p>
            <w:pPr>
              <w:pStyle w:val="Compact"/>
              <w:jc w:val="left"/>
            </w:pPr>
            <w:r>
              <w:t xml:space="preserve">5.0</w:t>
            </w:r>
          </w:p>
        </w:tc>
        <w:tc>
          <w:tcPr/>
          <w:p>
            <w:pPr>
              <w:pStyle w:val="Compact"/>
              <w:jc w:val="left"/>
            </w:pPr>
            <w:r>
              <w:t xml:space="preserve">R 2,200</w:t>
            </w:r>
          </w:p>
        </w:tc>
        <w:tc>
          <w:tcPr/>
          <w:p>
            <w:pPr>
              <w:pStyle w:val="Compact"/>
              <w:jc w:val="left"/>
            </w:pPr>
            <w:r>
              <w:t xml:space="preserve">R 11,000.00</w:t>
            </w:r>
          </w:p>
        </w:tc>
      </w:tr>
      <w:tr>
        <w:tc>
          <w:tcPr/>
          <w:p>
            <w:pPr>
              <w:pStyle w:val="Compact"/>
              <w:jc w:val="left"/>
            </w:pPr>
            <w:r>
              <w:t xml:space="preserve">03</w:t>
            </w:r>
          </w:p>
        </w:tc>
        <w:tc>
          <w:tcPr/>
          <w:p>
            <w:pPr>
              <w:pStyle w:val="Compact"/>
              <w:jc w:val="left"/>
            </w:pPr>
            <w:r>
              <w:t xml:space="preserve">Attendance at a pre-trial conference before the Master of the High Court, Johannesburg. The Lawyer represented the client's interests, negotiated procedural timelines, and filed a formal application for an expedited hearing given the commercial urgency of the matter in the Johannesburg business district.</w:t>
            </w:r>
          </w:p>
        </w:tc>
        <w:tc>
          <w:tcPr/>
          <w:p>
            <w:pPr>
              <w:pStyle w:val="Compact"/>
              <w:jc w:val="left"/>
            </w:pPr>
            <w:r>
              <w:t xml:space="preserve">12 May 2025</w:t>
            </w:r>
          </w:p>
        </w:tc>
        <w:tc>
          <w:tcPr/>
          <w:p>
            <w:pPr>
              <w:pStyle w:val="Compact"/>
              <w:jc w:val="left"/>
            </w:pPr>
            <w:r>
              <w:t xml:space="preserve">4.0</w:t>
            </w:r>
          </w:p>
        </w:tc>
        <w:tc>
          <w:tcPr/>
          <w:p>
            <w:pPr>
              <w:pStyle w:val="Compact"/>
              <w:jc w:val="left"/>
            </w:pPr>
            <w:r>
              <w:t xml:space="preserve">R 2,500</w:t>
            </w:r>
          </w:p>
        </w:tc>
        <w:tc>
          <w:tcPr/>
          <w:p>
            <w:pPr>
              <w:pStyle w:val="Compact"/>
              <w:jc w:val="left"/>
            </w:pPr>
            <w:r>
              <w:t xml:space="preserve">R 10,000.00</w:t>
            </w:r>
          </w:p>
        </w:tc>
      </w:tr>
      <w:tr>
        <w:tc>
          <w:tcPr/>
          <w:p>
            <w:pPr>
              <w:pStyle w:val="Compact"/>
              <w:jc w:val="left"/>
            </w:pPr>
            <w:r>
              <w:t xml:space="preserve">04</w:t>
            </w:r>
          </w:p>
        </w:tc>
        <w:tc>
          <w:tcPr/>
          <w:p>
            <w:pPr>
              <w:pStyle w:val="Compact"/>
              <w:jc w:val="left"/>
            </w:pPr>
            <w:r>
              <w:t xml:space="preserve">Research and preparation of a comprehensive legal memorandum on the enforceability of arbitration clauses under the Arbitration Act 42 of 1965 as applicable in South Africa. The Lawyer compiled a 45-page memorandum citing relevant Johannesburg and Gauteng High Court precedents, including</w:t>
            </w:r>
            <w:r>
              <w:t xml:space="preserve"> </w:t>
            </w:r>
            <w:r>
              <w:rPr>
                <w:iCs/>
                <w:i/>
              </w:rPr>
              <w:t xml:space="preserve">Standard Bank v. Mokoena</w:t>
            </w:r>
            <w:r>
              <w:t xml:space="preserve"> </w:t>
            </w:r>
            <w:r>
              <w:t xml:space="preserve">(2023) and</w:t>
            </w:r>
            <w:r>
              <w:t xml:space="preserve"> </w:t>
            </w:r>
            <w:r>
              <w:rPr>
                <w:iCs/>
                <w:i/>
              </w:rPr>
              <w:t xml:space="preserve">City of Johannesburg v. Naidoo</w:t>
            </w:r>
            <w:r>
              <w:t xml:space="preserve"> </w:t>
            </w:r>
            <w:r>
              <w:t xml:space="preserve">(2022).</w:t>
            </w:r>
          </w:p>
        </w:tc>
        <w:tc>
          <w:tcPr/>
          <w:p>
            <w:pPr>
              <w:pStyle w:val="Compact"/>
              <w:jc w:val="left"/>
            </w:pPr>
            <w:r>
              <w:t xml:space="preserve">15 May 2025</w:t>
            </w:r>
          </w:p>
        </w:tc>
        <w:tc>
          <w:tcPr/>
          <w:p>
            <w:pPr>
              <w:pStyle w:val="Compact"/>
              <w:jc w:val="left"/>
            </w:pPr>
            <w:r>
              <w:t xml:space="preserve">8.0</w:t>
            </w:r>
          </w:p>
        </w:tc>
        <w:tc>
          <w:tcPr/>
          <w:p>
            <w:pPr>
              <w:pStyle w:val="Compact"/>
              <w:jc w:val="left"/>
            </w:pPr>
            <w:r>
              <w:t xml:space="preserve">R 2,200</w:t>
            </w:r>
          </w:p>
        </w:tc>
        <w:tc>
          <w:tcPr/>
          <w:p>
            <w:pPr>
              <w:pStyle w:val="Compact"/>
              <w:jc w:val="left"/>
            </w:pPr>
            <w:r>
              <w:t xml:space="preserve">R 17,600.00</w:t>
            </w:r>
          </w:p>
        </w:tc>
      </w:tr>
      <w:tr>
        <w:tc>
          <w:tcPr/>
          <w:p>
            <w:pPr>
              <w:pStyle w:val="Compact"/>
              <w:jc w:val="left"/>
            </w:pPr>
            <w:r>
              <w:t xml:space="preserve">05</w:t>
            </w:r>
          </w:p>
        </w:tc>
        <w:tc>
          <w:tcPr/>
          <w:p>
            <w:pPr>
              <w:pStyle w:val="Compact"/>
              <w:jc w:val="left"/>
            </w:pPr>
            <w:r>
              <w:t xml:space="preserve">Drafting of the Notice of Motion and supporting affidavit for an urgent interdictory application to the Johannesburg High Court. The Lawyer prepared all annexures, verified the affidavit, and coordinated with the court registrar to secure a hearing date within the Johannesburg Division.</w:t>
            </w:r>
          </w:p>
        </w:tc>
        <w:tc>
          <w:tcPr/>
          <w:p>
            <w:pPr>
              <w:pStyle w:val="Compact"/>
              <w:jc w:val="left"/>
            </w:pPr>
            <w:r>
              <w:t xml:space="preserve">20 May 2025</w:t>
            </w:r>
          </w:p>
        </w:tc>
        <w:tc>
          <w:tcPr/>
          <w:p>
            <w:pPr>
              <w:pStyle w:val="Compact"/>
              <w:jc w:val="left"/>
            </w:pPr>
            <w:r>
              <w:t xml:space="preserve">6.5</w:t>
            </w:r>
          </w:p>
        </w:tc>
        <w:tc>
          <w:tcPr/>
          <w:p>
            <w:pPr>
              <w:pStyle w:val="Compact"/>
              <w:jc w:val="left"/>
            </w:pPr>
            <w:r>
              <w:t xml:space="preserve">R 2,200</w:t>
            </w:r>
          </w:p>
        </w:tc>
        <w:tc>
          <w:tcPr/>
          <w:p>
            <w:pPr>
              <w:pStyle w:val="Compact"/>
              <w:jc w:val="left"/>
            </w:pPr>
            <w:r>
              <w:t xml:space="preserve">R 14,300.00</w:t>
            </w:r>
          </w:p>
        </w:tc>
      </w:tr>
      <w:tr>
        <w:tc>
          <w:tcPr/>
          <w:p>
            <w:pPr>
              <w:pStyle w:val="Compact"/>
              <w:jc w:val="left"/>
            </w:pPr>
            <w:r>
              <w:t xml:space="preserve">06</w:t>
            </w:r>
          </w:p>
        </w:tc>
        <w:tc>
          <w:tcPr/>
          <w:p>
            <w:pPr>
              <w:pStyle w:val="Compact"/>
              <w:jc w:val="left"/>
            </w:pPr>
            <w:r>
              <w:t xml:space="preserve">Telephone and email consultations with the client regarding settlement negotiations. The Lawyer advised on the legal implications of a proposed settlement agreement, reviewed the opposing party's counter-offer, and provided written legal opinion on risk assessment. All communications were conducted in accordance with the Legal Practice Council's Code of Conduct applicable in South Africa.</w:t>
            </w:r>
          </w:p>
        </w:tc>
        <w:tc>
          <w:tcPr/>
          <w:p>
            <w:pPr>
              <w:pStyle w:val="Compact"/>
              <w:jc w:val="left"/>
            </w:pPr>
            <w:r>
              <w:t xml:space="preserve">22–28 May 2025</w:t>
            </w:r>
          </w:p>
        </w:tc>
        <w:tc>
          <w:tcPr/>
          <w:p>
            <w:pPr>
              <w:pStyle w:val="Compact"/>
              <w:jc w:val="left"/>
            </w:pPr>
            <w:r>
              <w:t xml:space="preserve">4.5</w:t>
            </w:r>
          </w:p>
        </w:tc>
        <w:tc>
          <w:tcPr/>
          <w:p>
            <w:pPr>
              <w:pStyle w:val="Compact"/>
              <w:jc w:val="left"/>
            </w:pPr>
            <w:r>
              <w:t xml:space="preserve">R 2,200</w:t>
            </w:r>
          </w:p>
        </w:tc>
        <w:tc>
          <w:tcPr/>
          <w:p>
            <w:pPr>
              <w:pStyle w:val="Compact"/>
              <w:jc w:val="left"/>
            </w:pPr>
            <w:r>
              <w:t xml:space="preserve">R 9,900.00</w:t>
            </w:r>
          </w:p>
        </w:tc>
      </w:tr>
      <w:tr>
        <w:tc>
          <w:tcPr/>
          <w:p>
            <w:pPr>
              <w:pStyle w:val="Compact"/>
              <w:jc w:val="left"/>
            </w:pPr>
            <w:r>
              <w:t xml:space="preserve">07</w:t>
            </w:r>
          </w:p>
        </w:tc>
        <w:tc>
          <w:tcPr/>
          <w:p>
            <w:pPr>
              <w:pStyle w:val="Compact"/>
              <w:jc w:val="left"/>
            </w:pPr>
            <w:r>
              <w:t xml:space="preserve">Out-of-pocket expenses: Court filing fees (Johannesburg High Court), service of process by sheriff, photocopying, and courier charges for legal documents within the Johannesburg metropolitan area.</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R 4,850.00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R 70,500.00</w:t>
            </w:r>
          </w:p>
        </w:tc>
      </w:tr>
      <w:tr>
        <w:tc>
          <w:tcPr/>
          <w:p>
            <w:pPr>
              <w:pStyle w:val="Compact"/>
              <w:jc w:val="left"/>
            </w:pPr>
            <w:r>
              <w:t xml:space="preserve">Out-of-Pocket Expenses</w:t>
            </w:r>
          </w:p>
        </w:tc>
        <w:tc>
          <w:tcPr/>
          <w:p>
            <w:pPr>
              <w:pStyle w:val="Compact"/>
              <w:jc w:val="right"/>
            </w:pPr>
            <w:r>
              <w:t xml:space="preserve">R 4,850.00</w:t>
            </w:r>
          </w:p>
        </w:tc>
      </w:tr>
      <w:tr>
        <w:tc>
          <w:tcPr/>
          <w:p>
            <w:pPr>
              <w:pStyle w:val="Compact"/>
              <w:jc w:val="left"/>
            </w:pPr>
            <w:r>
              <w:t xml:space="preserve">VAT @ 15% (South Africa)</w:t>
            </w:r>
          </w:p>
        </w:tc>
        <w:tc>
          <w:tcPr/>
          <w:p>
            <w:pPr>
              <w:pStyle w:val="Compact"/>
              <w:jc w:val="right"/>
            </w:pPr>
            <w:r>
              <w:t xml:space="preserve">R 11,977.50</w:t>
            </w:r>
          </w:p>
        </w:tc>
      </w:tr>
      <w:tr>
        <w:tc>
          <w:tcPr/>
          <w:p>
            <w:pPr>
              <w:pStyle w:val="Compact"/>
              <w:jc w:val="left"/>
            </w:pPr>
            <w:r>
              <w:t xml:space="preserve">TOTAL AMOUNT DUE</w:t>
            </w:r>
          </w:p>
        </w:tc>
        <w:tc>
          <w:tcPr/>
          <w:p>
            <w:pPr>
              <w:pStyle w:val="Compact"/>
              <w:jc w:val="right"/>
            </w:pPr>
            <w:r>
              <w:t xml:space="preserve">R 87,327.50</w:t>
            </w:r>
          </w:p>
        </w:tc>
      </w:tr>
    </w:tbl>
    <w:p>
      <w:pPr>
        <w:pStyle w:val="BodyText"/>
      </w:pPr>
      <w:r>
        <w:rPr>
          <w:bCs/>
          <w:b/>
        </w:rPr>
        <w:t xml:space="preserve">Payment Instructions:</w:t>
      </w:r>
      <w:r>
        <w:t xml:space="preserve"> </w:t>
      </w:r>
      <w:r>
        <w:t xml:space="preserve">Please settle the total amount of</w:t>
      </w:r>
      <w:r>
        <w:t xml:space="preserve"> </w:t>
      </w:r>
      <w:r>
        <w:rPr>
          <w:bCs/>
          <w:b/>
        </w:rPr>
        <w:t xml:space="preserve">R 87,327.50</w:t>
      </w:r>
      <w:r>
        <w:t xml:space="preserve"> </w:t>
      </w:r>
      <w:r>
        <w:t xml:space="preserve">(Eighty-Seven Thousand Three Hundred and Twenty-Seven Rand and Fifty Cents) within thirty (30) calendar days from the date of this Invoice. Payments may be made via Electronic Funds Transfer (EFT) to the following account:</w:t>
      </w:r>
    </w:p>
    <w:p>
      <w:pPr>
        <w:pStyle w:val="BodyText"/>
      </w:pPr>
      <w:r>
        <w:rPr>
          <w:bCs/>
          <w:b/>
        </w:rPr>
        <w:t xml:space="preserve">Bank:</w:t>
      </w:r>
      <w:r>
        <w:t xml:space="preserve"> </w:t>
      </w:r>
      <w:r>
        <w:t xml:space="preserve">Standard Bank, South Africa</w:t>
      </w:r>
      <w:r>
        <w:br/>
      </w:r>
      <w:r>
        <w:rPr>
          <w:bCs/>
          <w:b/>
        </w:rPr>
        <w:t xml:space="preserve">Account Name:</w:t>
      </w:r>
      <w:r>
        <w:t xml:space="preserve"> </w:t>
      </w:r>
      <w:r>
        <w:t xml:space="preserve">Nkosi &amp; Partners Legal Practitioners (Trust)</w:t>
      </w:r>
      <w:r>
        <w:br/>
      </w:r>
      <w:r>
        <w:rPr>
          <w:bCs/>
          <w:b/>
        </w:rPr>
        <w:t xml:space="preserve">Account Number:</w:t>
      </w:r>
      <w:r>
        <w:t xml:space="preserve"> </w:t>
      </w:r>
      <w:r>
        <w:t xml:space="preserve">624 8817 3392</w:t>
      </w:r>
      <w:r>
        <w:br/>
      </w:r>
      <w:r>
        <w:rPr>
          <w:bCs/>
          <w:b/>
        </w:rPr>
        <w:t xml:space="preserve">Branch Code:</w:t>
      </w:r>
      <w:r>
        <w:t xml:space="preserve"> </w:t>
      </w:r>
      <w:r>
        <w:t xml:space="preserve">051001</w:t>
      </w:r>
      <w:r>
        <w:br/>
      </w:r>
      <w:r>
        <w:rPr>
          <w:bCs/>
          <w:b/>
        </w:rPr>
        <w:t xml:space="preserve">Reference:</w:t>
      </w:r>
      <w:r>
        <w:t xml:space="preserve"> </w:t>
      </w:r>
      <w:r>
        <w:t xml:space="preserve">NK-INV-2024-01192 / VDM-2024-0387</w:t>
      </w:r>
      <w:r>
        <w:br/>
      </w:r>
    </w:p>
    <w:p>
      <w:pPr>
        <w:pStyle w:val="BodyText"/>
      </w:pPr>
      <w:r>
        <w:t xml:space="preserve">Please quote the Invoice number and Client File Number as your payment reference. Failure to include the correct reference may result in delayed reconciliation of your account.</w:t>
      </w:r>
    </w:p>
    <w:bookmarkEnd w:id="23"/>
    <w:bookmarkStart w:id="24" w:name="terms-and-conditions-of-this-invoice"/>
    <w:p>
      <w:pPr>
        <w:pStyle w:val="Heading2"/>
      </w:pPr>
      <w:r>
        <w:t xml:space="preserve">Terms and Conditions of This Invoice</w:t>
      </w:r>
    </w:p>
    <w:p>
      <w:pPr>
        <w:numPr>
          <w:ilvl w:val="0"/>
          <w:numId w:val="1001"/>
        </w:numPr>
        <w:pStyle w:val="Compact"/>
      </w:pPr>
      <w:r>
        <w:t xml:space="preserve">This Invoice is issued in accordance with the Legal Practice Act 28 of 2014 and the rules of the Legal Practice Council of South Africa. The Lawyer reserves the right to suspend legal services if payment is not received within the stipulated thirty (30) day period.</w:t>
      </w:r>
    </w:p>
    <w:p>
      <w:pPr>
        <w:numPr>
          <w:ilvl w:val="0"/>
          <w:numId w:val="1001"/>
        </w:numPr>
        <w:pStyle w:val="Compact"/>
      </w:pPr>
      <w:r>
        <w:t xml:space="preserve">All fees charged by the Lawyer are exclusive of Value Added Tax (VAT) at the prevailing rate of fifteen percent (15%) as imposed by the South African Revenue Service (SARS) in the Republic of South Africa.</w:t>
      </w:r>
    </w:p>
    <w:p>
      <w:pPr>
        <w:numPr>
          <w:ilvl w:val="0"/>
          <w:numId w:val="1001"/>
        </w:numPr>
        <w:pStyle w:val="Compact"/>
      </w:pPr>
      <w:r>
        <w:t xml:space="preserve">Should the client fail to settle the amount due by the due date indicated on this Invoice, the Lawyer is entitled to charge interest at the rate of 10% per annum on the outstanding balance, calculated from the due date until the date of full payment, in terms of the Prescription Act 68 of 1969.</w:t>
      </w:r>
    </w:p>
    <w:p>
      <w:pPr>
        <w:numPr>
          <w:ilvl w:val="0"/>
          <w:numId w:val="1001"/>
        </w:numPr>
        <w:pStyle w:val="Compact"/>
      </w:pPr>
      <w:r>
        <w:t xml:space="preserve">This Invoice constitutes a debt owed to the Lawyer's trust account. The Lawyer may, in terms of Section 29 of the Legal Practice Act, place a lien on all documents, files, and property belonging to the client in the possession of the Law firm until full payment is received.</w:t>
      </w:r>
    </w:p>
    <w:p>
      <w:pPr>
        <w:numPr>
          <w:ilvl w:val="0"/>
          <w:numId w:val="1001"/>
        </w:numPr>
        <w:pStyle w:val="Compact"/>
      </w:pPr>
      <w:r>
        <w:t xml:space="preserve">All legal advice, opinions, and work product referenced in this Invoice remain the intellectual property of the Lawyer and Nkosi &amp; Partners Legal Practitioners until full payment has been made. No assignment of rights is implied by the issuance of this Invoice.</w:t>
      </w:r>
    </w:p>
    <w:p>
      <w:pPr>
        <w:numPr>
          <w:ilvl w:val="0"/>
          <w:numId w:val="1001"/>
        </w:numPr>
        <w:pStyle w:val="Compact"/>
      </w:pPr>
      <w:r>
        <w:t xml:space="preserve">Any dispute arising from this Invoice or the legal services rendered shall be subject to the exclusive jurisdiction of the High Court of South Africa, Johannesburg Division, and the laws of the Republic of South Africa shall govern this Invoice and the underlying retainer agreement.</w:t>
      </w:r>
    </w:p>
    <w:p>
      <w:pPr>
        <w:numPr>
          <w:ilvl w:val="0"/>
          <w:numId w:val="1001"/>
        </w:numPr>
        <w:pStyle w:val="Compact"/>
      </w:pPr>
      <w:r>
        <w:t xml:space="preserve">The client acknowledges that the Lawyer has provided all services in good faith and in compliance with the professional standards expected of a legal practitioner registered with the Law Society of Johannesburg and the Legal Practice Council of South Africa.</w:t>
      </w:r>
    </w:p>
    <w:p>
      <w:pPr>
        <w:numPr>
          <w:ilvl w:val="0"/>
          <w:numId w:val="1001"/>
        </w:numPr>
        <w:pStyle w:val="Compact"/>
      </w:pPr>
      <w:r>
        <w:t xml:space="preserve">This Invoice is valid for a period of one hundred and eighty (180) days from the date of issue. Thereafter, the debt may be subject to the provisions of the Prescription Act 68 of 1969.</w:t>
      </w:r>
    </w:p>
    <w:bookmarkEnd w:id="24"/>
    <w:p>
      <w:pPr>
        <w:pStyle w:val="FirstParagraph"/>
      </w:pPr>
      <w:r>
        <w:t xml:space="preserve">Authorised and issued by:</w:t>
      </w:r>
    </w:p>
    <w:p>
      <w:pPr>
        <w:pStyle w:val="BodyText"/>
      </w:pPr>
      <w:r>
        <w:t xml:space="preserve">______________________________</w:t>
      </w:r>
    </w:p>
    <w:p>
      <w:pPr>
        <w:pStyle w:val="BodyText"/>
      </w:pPr>
      <w:r>
        <w:rPr>
          <w:bCs/>
          <w:b/>
        </w:rPr>
        <w:t xml:space="preserve">Thabo M. Nkosi, Attorney</w:t>
      </w:r>
    </w:p>
    <w:p>
      <w:pPr>
        <w:pStyle w:val="BodyText"/>
      </w:pPr>
      <w:r>
        <w:t xml:space="preserve">Nkosi &amp; Partners Legal Practitioners</w:t>
      </w:r>
    </w:p>
    <w:p>
      <w:pPr>
        <w:pStyle w:val="BodyText"/>
      </w:pPr>
      <w:r>
        <w:t xml:space="preserve">Johannesburg, South Africa</w:t>
      </w:r>
    </w:p>
    <w:p>
      <w:pPr>
        <w:pStyle w:val="BodyText"/>
      </w:pPr>
      <w:r>
        <w:t xml:space="preserve">Date: 14 June 2025</w:t>
      </w:r>
    </w:p>
    <w:p>
      <w:pPr>
        <w:pStyle w:val="BodyText"/>
      </w:pPr>
      <w:r>
        <w:t xml:space="preserve">Nkosi &amp; Partners Legal Practitioners is a registered law firm in Johannesburg, South Africa, governed by the Legal Practice Council. This Invoice is a legally binding document. All communications regarding this Invoice should be directed to the billing department at billing@nkosilegal.co.za or by telephone at +27 (0)11 447 8200. The Lawyer and firm are committed to the highest standards of legal practice in the Johannesburg legal community and the broader South African jurisdiction.</w:t>
      </w:r>
    </w:p>
    <w:p>
      <w:pPr>
        <w:pStyle w:val="BodyText"/>
      </w:pPr>
      <w:r>
        <w:t xml:space="preserve">© 2025 Nkosi &amp; Partners Legal Practitioners, Johannesburg, South Africa. All rights reserved. Invoice NK-INV-2024-01192.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Johannesburg, South Africa</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