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Invoice</w:t>
      </w:r>
      <w:r>
        <w:t xml:space="preserve"> </w:t>
      </w:r>
      <w:r>
        <w:t xml:space="preserve">-</w:t>
      </w:r>
      <w:r>
        <w:t xml:space="preserve"> </w:t>
      </w:r>
      <w:r>
        <w:t xml:space="preserve">Seoul,</w:t>
      </w:r>
      <w:r>
        <w:t xml:space="preserve"> </w:t>
      </w:r>
      <w:r>
        <w:t xml:space="preserve">South</w:t>
      </w:r>
      <w:r>
        <w:t xml:space="preserve"> </w:t>
      </w:r>
      <w:r>
        <w:t xml:space="preserve">Korea</w:t>
      </w:r>
    </w:p>
    <w:bookmarkStart w:id="20" w:name="invoice"/>
    <w:p>
      <w:pPr>
        <w:pStyle w:val="Heading1"/>
      </w:pPr>
      <w:r>
        <w:t xml:space="preserve">INVOICE</w:t>
      </w:r>
    </w:p>
    <w:p>
      <w:pPr>
        <w:pStyle w:val="FirstParagraph"/>
      </w:pPr>
      <w:r>
        <w:t xml:space="preserve">Professional Legal Services — Attorney at Law</w:t>
      </w:r>
    </w:p>
    <w:p>
      <w:pPr>
        <w:pStyle w:val="BodyText"/>
      </w:pPr>
      <w:r>
        <w:t xml:space="preserve">Seoul, South Korea • Republic of Korea</w:t>
      </w:r>
    </w:p>
    <w:bookmarkEnd w:id="20"/>
    <w:bookmarkStart w:id="21" w:name="law-firm-billed-by"/>
    <w:p>
      <w:pPr>
        <w:pStyle w:val="Heading3"/>
      </w:pPr>
      <w:r>
        <w:t xml:space="preserve">Law Firm (Billed By)</w:t>
      </w:r>
    </w:p>
    <w:p>
      <w:pPr>
        <w:pStyle w:val="FirstParagraph"/>
      </w:pPr>
      <w:r>
        <w:rPr>
          <w:bCs/>
          <w:b/>
        </w:rPr>
        <w:t xml:space="preserve">Seoul Han River Legal Counsel, PLLC</w:t>
      </w:r>
      <w:r>
        <w:br/>
      </w:r>
      <w:r>
        <w:t xml:space="preserve">12F, 456 Teheran-ro, Gangnam-gu</w:t>
      </w:r>
      <w:r>
        <w:br/>
      </w:r>
      <w:r>
        <w:t xml:space="preserve">Seoul, South Korea 06236</w:t>
      </w:r>
      <w:r>
        <w:br/>
      </w:r>
      <w:r>
        <w:t xml:space="preserve">Tel: +82-2-555-0147</w:t>
      </w:r>
      <w:r>
        <w:br/>
      </w:r>
      <w:r>
        <w:t xml:space="preserve">Email: billing@seoulhanriverlegal.kr</w:t>
      </w:r>
      <w:r>
        <w:br/>
      </w:r>
      <w:r>
        <w:t xml:space="preserve">Business Registration No.: 220-88-01234</w:t>
      </w:r>
      <w:r>
        <w:br/>
      </w:r>
      <w:r>
        <w:t xml:space="preserve">Attorney License No.: 2019-04567 (Korean Bar Association)</w:t>
      </w:r>
    </w:p>
    <w:bookmarkEnd w:id="21"/>
    <w:bookmarkStart w:id="22" w:name="client-billed-to"/>
    <w:p>
      <w:pPr>
        <w:pStyle w:val="Heading3"/>
      </w:pPr>
      <w:r>
        <w:t xml:space="preserve">Client (Billed To)</w:t>
      </w:r>
    </w:p>
    <w:p>
      <w:pPr>
        <w:pStyle w:val="FirstParagraph"/>
      </w:pPr>
      <w:r>
        <w:rPr>
          <w:bCs/>
          <w:b/>
        </w:rPr>
        <w:t xml:space="preserve">Mr. Park Ji-hoon</w:t>
      </w:r>
      <w:r>
        <w:br/>
      </w:r>
      <w:r>
        <w:t xml:space="preserve">CEO, Hanbit Technology Co., Ltd.</w:t>
      </w:r>
      <w:r>
        <w:br/>
      </w:r>
      <w:r>
        <w:t xml:space="preserve">78, Yeongdong-daero, Jung-gu</w:t>
      </w:r>
      <w:r>
        <w:br/>
      </w:r>
      <w:r>
        <w:t xml:space="preserve">Seoul, South Korea 04524</w:t>
      </w:r>
      <w:r>
        <w:br/>
      </w:r>
      <w:r>
        <w:t xml:space="preserve">Tel: +82-10-3344-5566</w:t>
      </w:r>
      <w:r>
        <w:br/>
      </w:r>
      <w:r>
        <w:t xml:space="preserve">Email: jh.park@hanbitech.co.kr</w:t>
      </w:r>
      <w:r>
        <w:br/>
      </w:r>
      <w:r>
        <w:t xml:space="preserve">Client Reference No.: HRL-2025-00342</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Invoice Number:</w:t>
            </w:r>
          </w:p>
        </w:tc>
        <w:tc>
          <w:tcPr/>
          <w:p>
            <w:pPr>
              <w:pStyle w:val="Compact"/>
              <w:jc w:val="left"/>
            </w:pPr>
            <w:r>
              <w:t xml:space="preserve">HRL-INV-2025-00871</w:t>
            </w:r>
          </w:p>
        </w:tc>
        <w:tc>
          <w:tcPr/>
          <w:p>
            <w:pPr>
              <w:pStyle w:val="Compact"/>
              <w:jc w:val="left"/>
            </w:pPr>
            <w:r>
              <w:t xml:space="preserve">Invoice Date:</w:t>
            </w:r>
          </w:p>
        </w:tc>
        <w:tc>
          <w:tcPr/>
          <w:p>
            <w:pPr>
              <w:pStyle w:val="Compact"/>
              <w:jc w:val="left"/>
            </w:pPr>
            <w:r>
              <w:t xml:space="preserve">June 15, 2025</w:t>
            </w:r>
          </w:p>
        </w:tc>
      </w:tr>
      <w:tr>
        <w:tc>
          <w:tcPr/>
          <w:p>
            <w:pPr>
              <w:pStyle w:val="Compact"/>
              <w:jc w:val="left"/>
            </w:pPr>
            <w:r>
              <w:t xml:space="preserve">Due Date:</w:t>
            </w:r>
          </w:p>
        </w:tc>
        <w:tc>
          <w:tcPr/>
          <w:p>
            <w:pPr>
              <w:pStyle w:val="Compact"/>
              <w:jc w:val="left"/>
            </w:pPr>
            <w:r>
              <w:t xml:space="preserve">July 15, 2025 (30 days)</w:t>
            </w:r>
          </w:p>
        </w:tc>
        <w:tc>
          <w:tcPr/>
          <w:p>
            <w:pPr>
              <w:pStyle w:val="Compact"/>
              <w:jc w:val="left"/>
            </w:pPr>
            <w:r>
              <w:t xml:space="preserve">Currency:</w:t>
            </w:r>
          </w:p>
        </w:tc>
        <w:tc>
          <w:tcPr/>
          <w:p>
            <w:pPr>
              <w:pStyle w:val="Compact"/>
              <w:jc w:val="left"/>
            </w:pPr>
            <w:r>
              <w:t xml:space="preserve">Korean Won (KRW / &amp;won;)</w:t>
            </w:r>
          </w:p>
        </w:tc>
      </w:tr>
      <w:tr>
        <w:tc>
          <w:tcPr/>
          <w:p>
            <w:pPr>
              <w:pStyle w:val="Compact"/>
              <w:jc w:val="left"/>
            </w:pPr>
            <w:r>
              <w:t xml:space="preserve">Service Period:</w:t>
            </w:r>
          </w:p>
        </w:tc>
        <w:tc>
          <w:tcPr/>
          <w:p>
            <w:pPr>
              <w:pStyle w:val="Compact"/>
              <w:jc w:val="left"/>
            </w:pPr>
            <w:r>
              <w:t xml:space="preserve">May 1, 2025 – May 31, 2025</w:t>
            </w:r>
          </w:p>
        </w:tc>
        <w:tc>
          <w:tcPr/>
          <w:p>
            <w:pPr>
              <w:pStyle w:val="Compact"/>
              <w:jc w:val="left"/>
            </w:pPr>
            <w:r>
              <w:t xml:space="preserve">Payment Method:</w:t>
            </w:r>
          </w:p>
        </w:tc>
        <w:tc>
          <w:tcPr/>
          <w:p>
            <w:pPr>
              <w:pStyle w:val="Compact"/>
              <w:jc w:val="left"/>
            </w:pPr>
            <w:r>
              <w:t xml:space="preserve">Bank Transfer (IBK Bank, Seoul Branch)</w:t>
            </w:r>
          </w:p>
        </w:tc>
      </w:tr>
    </w:tbl>
    <w:bookmarkStart w:id="23" w:name="description-of-legal-services-rendered"/>
    <w:p>
      <w:pPr>
        <w:pStyle w:val="Heading2"/>
      </w:pPr>
      <w:r>
        <w:t xml:space="preserve">Description of Legal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(&amp;won;/hr)</w:t>
            </w:r>
          </w:p>
        </w:tc>
        <w:tc>
          <w:tcPr/>
          <w:p>
            <w:pPr>
              <w:pStyle w:val="Compact"/>
              <w:jc w:val="left"/>
            </w:pPr>
            <w:r>
              <w:t xml:space="preserve">Amount (&amp;won;)</w:t>
            </w:r>
          </w:p>
        </w:tc>
      </w:tr>
      <w:tr>
        <w:tc>
          <w:tcPr/>
          <w:p>
            <w:pPr>
              <w:pStyle w:val="Compact"/>
              <w:jc w:val="left"/>
            </w:pPr>
            <w:r>
              <w:t xml:space="preserve">1</w:t>
            </w:r>
          </w:p>
        </w:tc>
        <w:tc>
          <w:tcPr/>
          <w:p>
            <w:pPr>
              <w:pStyle w:val="Compact"/>
              <w:jc w:val="left"/>
            </w:pPr>
            <w:r>
              <w:t xml:space="preserve">Corporate contract review and negotiation for Hanbit Technology’s exclusive distribution agreement with a Japanese trading partner. The Lawyer prepared a comprehensive legal memorandum identifying risk clauses, indemnification provisions, and dispute resolution mechanisms under Korean commercial law.</w:t>
            </w:r>
          </w:p>
        </w:tc>
        <w:tc>
          <w:tcPr/>
          <w:p>
            <w:pPr>
              <w:pStyle w:val="Compact"/>
              <w:jc w:val="left"/>
            </w:pPr>
            <w:r>
              <w:t xml:space="preserve">May 2–5, 2025</w:t>
            </w:r>
          </w:p>
        </w:tc>
        <w:tc>
          <w:tcPr/>
          <w:p>
            <w:pPr>
              <w:pStyle w:val="Compact"/>
              <w:jc w:val="left"/>
            </w:pPr>
            <w:r>
              <w:t xml:space="preserve">18.5</w:t>
            </w:r>
          </w:p>
        </w:tc>
        <w:tc>
          <w:tcPr/>
          <w:p>
            <w:pPr>
              <w:pStyle w:val="Compact"/>
              <w:jc w:val="left"/>
            </w:pPr>
            <w:r>
              <w:t xml:space="preserve">350,000</w:t>
            </w:r>
          </w:p>
        </w:tc>
        <w:tc>
          <w:tcPr/>
          <w:p>
            <w:pPr>
              <w:pStyle w:val="Compact"/>
              <w:jc w:val="left"/>
            </w:pPr>
            <w:r>
              <w:t xml:space="preserve">6,475,000</w:t>
            </w:r>
          </w:p>
        </w:tc>
      </w:tr>
      <w:tr>
        <w:tc>
          <w:tcPr/>
          <w:p>
            <w:pPr>
              <w:pStyle w:val="Compact"/>
              <w:jc w:val="left"/>
            </w:pPr>
            <w:r>
              <w:t xml:space="preserve">2</w:t>
            </w:r>
          </w:p>
        </w:tc>
        <w:tc>
          <w:tcPr/>
          <w:p>
            <w:pPr>
              <w:pStyle w:val="Compact"/>
              <w:jc w:val="left"/>
            </w:pPr>
            <w:r>
              <w:t xml:space="preserve">Representation of the client before the Seoul Central District Court in a commercial dispute matter (Case No. 2025-가-12345). The Lawyer attended two court hearings, filed a motion for preliminary injunction, and conducted cross-examination of opposing witnesses.</w:t>
            </w:r>
          </w:p>
        </w:tc>
        <w:tc>
          <w:tcPr/>
          <w:p>
            <w:pPr>
              <w:pStyle w:val="Compact"/>
              <w:jc w:val="left"/>
            </w:pPr>
            <w:r>
              <w:t xml:space="preserve">May 8, 12, 2025</w:t>
            </w:r>
          </w:p>
        </w:tc>
        <w:tc>
          <w:tcPr/>
          <w:p>
            <w:pPr>
              <w:pStyle w:val="Compact"/>
              <w:jc w:val="left"/>
            </w:pPr>
            <w:r>
              <w:t xml:space="preserve">12.0</w:t>
            </w:r>
          </w:p>
        </w:tc>
        <w:tc>
          <w:tcPr/>
          <w:p>
            <w:pPr>
              <w:pStyle w:val="Compact"/>
              <w:jc w:val="left"/>
            </w:pPr>
            <w:r>
              <w:t xml:space="preserve">400,000</w:t>
            </w:r>
          </w:p>
        </w:tc>
        <w:tc>
          <w:tcPr/>
          <w:p>
            <w:pPr>
              <w:pStyle w:val="Compact"/>
              <w:jc w:val="left"/>
            </w:pPr>
            <w:r>
              <w:t xml:space="preserve">4,800,000</w:t>
            </w:r>
          </w:p>
        </w:tc>
      </w:tr>
      <w:tr>
        <w:tc>
          <w:tcPr/>
          <w:p>
            <w:pPr>
              <w:pStyle w:val="Compact"/>
              <w:jc w:val="left"/>
            </w:pPr>
            <w:r>
              <w:t xml:space="preserve">3</w:t>
            </w:r>
          </w:p>
        </w:tc>
        <w:tc>
          <w:tcPr/>
          <w:p>
            <w:pPr>
              <w:pStyle w:val="Compact"/>
              <w:jc w:val="left"/>
            </w:pPr>
            <w:r>
              <w:t xml:space="preserve">Intellectual property advisory: Trademark registration filing and opposition defense for three (3) brand names before the Korean Intellectual Property Office (KIPO) in Daejeon. The Lawyer drafted the opposition brief and coordinated with the Seoul-based patent agent.</w:t>
            </w:r>
          </w:p>
        </w:tc>
        <w:tc>
          <w:tcPr/>
          <w:p>
            <w:pPr>
              <w:pStyle w:val="Compact"/>
              <w:jc w:val="left"/>
            </w:pPr>
            <w:r>
              <w:t xml:space="preserve">May 14–16, 2025</w:t>
            </w:r>
          </w:p>
        </w:tc>
        <w:tc>
          <w:tcPr/>
          <w:p>
            <w:pPr>
              <w:pStyle w:val="Compact"/>
              <w:jc w:val="left"/>
            </w:pPr>
            <w:r>
              <w:t xml:space="preserve">9.5</w:t>
            </w:r>
          </w:p>
        </w:tc>
        <w:tc>
          <w:tcPr/>
          <w:p>
            <w:pPr>
              <w:pStyle w:val="Compact"/>
              <w:jc w:val="left"/>
            </w:pPr>
            <w:r>
              <w:t xml:space="preserve">350,000</w:t>
            </w:r>
          </w:p>
        </w:tc>
        <w:tc>
          <w:tcPr/>
          <w:p>
            <w:pPr>
              <w:pStyle w:val="Compact"/>
              <w:jc w:val="left"/>
            </w:pPr>
            <w:r>
              <w:t xml:space="preserve">3,325,000</w:t>
            </w:r>
          </w:p>
        </w:tc>
      </w:tr>
      <w:tr>
        <w:tc>
          <w:tcPr/>
          <w:p>
            <w:pPr>
              <w:pStyle w:val="Compact"/>
              <w:jc w:val="left"/>
            </w:pPr>
            <w:r>
              <w:t xml:space="preserve">4</w:t>
            </w:r>
          </w:p>
        </w:tc>
        <w:tc>
          <w:tcPr/>
          <w:p>
            <w:pPr>
              <w:pStyle w:val="Compact"/>
              <w:jc w:val="left"/>
            </w:pPr>
            <w:r>
              <w:t xml:space="preserve">Employment law compliance audit for the client’s Seoul headquarters and two regional offices. The Lawyer reviewed 47 employment contracts, severance policies, and workplace safety regulations in accordance with the Korean Labor Standards Act and issued a written compliance report.</w:t>
            </w:r>
          </w:p>
        </w:tc>
        <w:tc>
          <w:tcPr/>
          <w:p>
            <w:pPr>
              <w:pStyle w:val="Compact"/>
              <w:jc w:val="left"/>
            </w:pPr>
            <w:r>
              <w:t xml:space="preserve">May 19–22, 2025</w:t>
            </w:r>
          </w:p>
        </w:tc>
        <w:tc>
          <w:tcPr/>
          <w:p>
            <w:pPr>
              <w:pStyle w:val="Compact"/>
              <w:jc w:val="left"/>
            </w:pPr>
            <w:r>
              <w:t xml:space="preserve">14.0</w:t>
            </w:r>
          </w:p>
        </w:tc>
        <w:tc>
          <w:tcPr/>
          <w:p>
            <w:pPr>
              <w:pStyle w:val="Compact"/>
              <w:jc w:val="left"/>
            </w:pPr>
            <w:r>
              <w:t xml:space="preserve">350,000</w:t>
            </w:r>
          </w:p>
        </w:tc>
        <w:tc>
          <w:tcPr/>
          <w:p>
            <w:pPr>
              <w:pStyle w:val="Compact"/>
              <w:jc w:val="left"/>
            </w:pPr>
            <w:r>
              <w:t xml:space="preserve">4,900,000</w:t>
            </w:r>
          </w:p>
        </w:tc>
      </w:tr>
      <w:tr>
        <w:tc>
          <w:tcPr/>
          <w:p>
            <w:pPr>
              <w:pStyle w:val="Compact"/>
              <w:jc w:val="left"/>
            </w:pPr>
            <w:r>
              <w:t xml:space="preserve">5</w:t>
            </w:r>
          </w:p>
        </w:tc>
        <w:tc>
          <w:tcPr/>
          <w:p>
            <w:pPr>
              <w:pStyle w:val="Compact"/>
              <w:jc w:val="left"/>
            </w:pPr>
            <w:r>
              <w:t xml:space="preserve">Preparation and filing of a corporate tax appeal before the Seoul National Tax Service. The Lawyer drafted the appeal petition, assembled supporting financial documentation, and represented the client at the oral hearing on May 28, 2025.</w:t>
            </w:r>
          </w:p>
        </w:tc>
        <w:tc>
          <w:tcPr/>
          <w:p>
            <w:pPr>
              <w:pStyle w:val="Compact"/>
              <w:jc w:val="left"/>
            </w:pPr>
            <w:r>
              <w:t xml:space="preserve">May 26–28, 2025</w:t>
            </w:r>
          </w:p>
        </w:tc>
        <w:tc>
          <w:tcPr/>
          <w:p>
            <w:pPr>
              <w:pStyle w:val="Compact"/>
              <w:jc w:val="left"/>
            </w:pPr>
            <w:r>
              <w:t xml:space="preserve">8.0</w:t>
            </w:r>
          </w:p>
        </w:tc>
        <w:tc>
          <w:tcPr/>
          <w:p>
            <w:pPr>
              <w:pStyle w:val="Compact"/>
              <w:jc w:val="left"/>
            </w:pPr>
            <w:r>
              <w:t xml:space="preserve">400,000</w:t>
            </w:r>
          </w:p>
        </w:tc>
        <w:tc>
          <w:tcPr/>
          <w:p>
            <w:pPr>
              <w:pStyle w:val="Compact"/>
              <w:jc w:val="left"/>
            </w:pPr>
            <w:r>
              <w:t xml:space="preserve">3,200,000</w:t>
            </w:r>
          </w:p>
        </w:tc>
      </w:tr>
      <w:tr>
        <w:tc>
          <w:tcPr/>
          <w:p>
            <w:pPr>
              <w:pStyle w:val="Compact"/>
              <w:jc w:val="left"/>
            </w:pPr>
            <w:r>
              <w:t xml:space="preserve">6</w:t>
            </w:r>
          </w:p>
        </w:tc>
        <w:tc>
          <w:tcPr/>
          <w:p>
            <w:pPr>
              <w:pStyle w:val="Compact"/>
              <w:jc w:val="left"/>
            </w:pPr>
            <w:r>
              <w:t xml:space="preserve">General legal consultation and correspondence (email, telephone, and in-person meetings at the Seoul office) regarding ongoing regulatory matters with the Financial Services Commission of South Korea.</w:t>
            </w:r>
          </w:p>
        </w:tc>
        <w:tc>
          <w:tcPr/>
          <w:p>
            <w:pPr>
              <w:pStyle w:val="Compact"/>
              <w:jc w:val="left"/>
            </w:pPr>
            <w:r>
              <w:t xml:space="preserve">May 1–31, 2025</w:t>
            </w:r>
          </w:p>
        </w:tc>
        <w:tc>
          <w:tcPr/>
          <w:p>
            <w:pPr>
              <w:pStyle w:val="Compact"/>
              <w:jc w:val="left"/>
            </w:pPr>
            <w:r>
              <w:t xml:space="preserve">6.5</w:t>
            </w:r>
          </w:p>
        </w:tc>
        <w:tc>
          <w:tcPr/>
          <w:p>
            <w:pPr>
              <w:pStyle w:val="Compact"/>
              <w:jc w:val="left"/>
            </w:pPr>
            <w:r>
              <w:t xml:space="preserve">300,000</w:t>
            </w:r>
          </w:p>
        </w:tc>
        <w:tc>
          <w:tcPr/>
          <w:p>
            <w:pPr>
              <w:pStyle w:val="Compact"/>
              <w:jc w:val="left"/>
            </w:pPr>
            <w:r>
              <w:t xml:space="preserve">1,950,000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Fees)</w:t>
            </w:r>
          </w:p>
        </w:tc>
        <w:tc>
          <w:tcPr/>
          <w:p>
            <w:pPr>
              <w:pStyle w:val="Compact"/>
              <w:jc w:val="left"/>
            </w:pPr>
            <w:r>
              <w:t xml:space="preserve">&amp;won; 24,650,000</w:t>
            </w:r>
          </w:p>
        </w:tc>
      </w:tr>
      <w:tr>
        <w:tc>
          <w:tcPr/>
          <w:p>
            <w:pPr>
              <w:pStyle w:val="Compact"/>
              <w:jc w:val="left"/>
            </w:pPr>
            <w:r>
              <w:t xml:space="preserve">Out-of-Pocket Expenses (Court filing fees, KIPO fees, courier, translation)</w:t>
            </w:r>
          </w:p>
        </w:tc>
        <w:tc>
          <w:tcPr/>
          <w:p>
            <w:pPr>
              <w:pStyle w:val="Compact"/>
              <w:jc w:val="left"/>
            </w:pPr>
            <w:r>
              <w:t xml:space="preserve">&amp;won; 1,280,000</w:t>
            </w:r>
          </w:p>
        </w:tc>
      </w:tr>
      <w:tr>
        <w:tc>
          <w:tcPr/>
          <w:p>
            <w:pPr>
              <w:pStyle w:val="Compact"/>
              <w:jc w:val="left"/>
            </w:pPr>
            <w:r>
              <w:t xml:space="preserve">Subtotal Before Tax</w:t>
            </w:r>
          </w:p>
        </w:tc>
        <w:tc>
          <w:tcPr/>
          <w:p>
            <w:pPr>
              <w:pStyle w:val="Compact"/>
              <w:jc w:val="left"/>
            </w:pPr>
            <w:r>
              <w:t xml:space="preserve">&amp;won; 25,930,000</w:t>
            </w:r>
          </w:p>
        </w:tc>
      </w:tr>
      <w:tr>
        <w:tc>
          <w:tcPr/>
          <w:p>
            <w:pPr>
              <w:pStyle w:val="Compact"/>
              <w:jc w:val="left"/>
            </w:pPr>
            <w:r>
              <w:t xml:space="preserve">VAT (10% — Value Added Tax, Republic of Korea)</w:t>
            </w:r>
          </w:p>
        </w:tc>
        <w:tc>
          <w:tcPr/>
          <w:p>
            <w:pPr>
              <w:pStyle w:val="Compact"/>
              <w:jc w:val="left"/>
            </w:pPr>
            <w:r>
              <w:t xml:space="preserve">&amp;won; 2,593,000</w:t>
            </w:r>
          </w:p>
        </w:tc>
      </w:tr>
      <w:tr>
        <w:tc>
          <w:tcPr/>
          <w:p>
            <w:pPr>
              <w:pStyle w:val="Compact"/>
              <w:jc w:val="left"/>
            </w:pPr>
            <w:r>
              <w:t xml:space="preserve">TOTAL AMOUNT DUE</w:t>
            </w:r>
          </w:p>
        </w:tc>
        <w:tc>
          <w:tcPr/>
          <w:p>
            <w:pPr>
              <w:pStyle w:val="Compact"/>
              <w:jc w:val="left"/>
            </w:pPr>
            <w:r>
              <w:t xml:space="preserve">&amp;won; 28,523,000</w:t>
            </w:r>
          </w:p>
        </w:tc>
      </w:tr>
    </w:tbl>
    <w:p>
      <w:pPr>
        <w:pStyle w:val="BodyText"/>
      </w:pPr>
      <w:r>
        <w:t xml:space="preserve">VAT Registration No.: 220-88-01234 (Seoul Metropolitan Tax Office). This Invoice is issued in accordance with the Korean Value-Added Tax Act and the National Tax Service e-Invoice (Sejong) system requirements.</w:t>
      </w:r>
    </w:p>
    <w:bookmarkEnd w:id="23"/>
    <w:bookmarkStart w:id="24" w:name="payment-terms-and-conditions"/>
    <w:p>
      <w:pPr>
        <w:pStyle w:val="Heading2"/>
      </w:pPr>
      <w:r>
        <w:t xml:space="preserve">Payment Terms and Conditions</w:t>
      </w:r>
    </w:p>
    <w:p>
      <w:pPr>
        <w:pStyle w:val="FirstParagraph"/>
      </w:pPr>
      <w:r>
        <w:rPr>
          <w:bCs/>
          <w:b/>
        </w:rPr>
        <w:t xml:space="preserve">1. Payment Deadline:</w:t>
      </w:r>
      <w:r>
        <w:t xml:space="preserve"> </w:t>
      </w:r>
      <w:r>
        <w:t xml:space="preserve">The full amount stated on this Invoice must be remitted within thirty (30) calendar days from the Invoice date of June 15, 2025. Payment is due no later than July 15, 2025. Late payments shall accrue interest at a rate of 1.5% per month in accordance with the Korean Commercial Act (Article 54).</w:t>
      </w:r>
    </w:p>
    <w:p>
      <w:pPr>
        <w:pStyle w:val="BodyText"/>
      </w:pPr>
      <w:r>
        <w:rPr>
          <w:bCs/>
          <w:b/>
        </w:rPr>
        <w:t xml:space="preserve">2. Payment Method:</w:t>
      </w:r>
      <w:r>
        <w:t xml:space="preserve"> </w:t>
      </w:r>
      <w:r>
        <w:t xml:space="preserve">Payment shall be made via bank transfer to the following account: IBK Industrial Bank of Korea, Seoul Gangnam Branch, Account Name: Seoul Han River Legal Counsel, PLLC, Account Number: 000-123-456789. Please reference the Invoice number HRL-INV-2025-00871 in the transfer memo.</w:t>
      </w:r>
    </w:p>
    <w:p>
      <w:pPr>
        <w:pStyle w:val="BodyText"/>
      </w:pPr>
      <w:r>
        <w:rPr>
          <w:bCs/>
          <w:b/>
        </w:rPr>
        <w:t xml:space="preserve">3. Disputes:</w:t>
      </w:r>
      <w:r>
        <w:t xml:space="preserve"> </w:t>
      </w:r>
      <w:r>
        <w:t xml:space="preserve">Any dispute arising from this Invoice or the underlying legal services shall be resolved through binding arbitration administered by the Korean Commercial Arbitration Board (KCAB) in Seoul, South Korea, in accordance with its rules of procedure. The governing law of this Invoice is the law of the Republic of Korea.</w:t>
      </w:r>
    </w:p>
    <w:p>
      <w:pPr>
        <w:pStyle w:val="BodyText"/>
      </w:pPr>
      <w:r>
        <w:rPr>
          <w:bCs/>
          <w:b/>
        </w:rPr>
        <w:t xml:space="preserve">4. Confidentiality:</w:t>
      </w:r>
      <w:r>
        <w:t xml:space="preserve"> </w:t>
      </w:r>
      <w:r>
        <w:t xml:space="preserve">All information contained in this Invoice and the associated legal engagement remains subject to the attorney-client privilege and the confidentiality obligations set forth in the Retainer Agreement dated March 1, 2025. The Lawyer and the firm shall not disclose the contents of this Invoice to any third party without the prior written consent of the client, except as required by Korean law or court order.</w:t>
      </w:r>
    </w:p>
    <w:p>
      <w:pPr>
        <w:pStyle w:val="BodyText"/>
      </w:pPr>
      <w:r>
        <w:rPr>
          <w:bCs/>
          <w:b/>
        </w:rPr>
        <w:t xml:space="preserve">5. Cancellation and Refunds:</w:t>
      </w:r>
      <w:r>
        <w:t xml:space="preserve"> </w:t>
      </w:r>
      <w:r>
        <w:t xml:space="preserve">In the event that any service item listed above is cancelled by the client prior to completion, a pro-rata refund shall be calculated based on hours not yet expended. No refund shall be issued for court filing fees or government charges already paid to the relevant South Korean authorities.</w:t>
      </w:r>
    </w:p>
    <w:p>
      <w:pPr>
        <w:pStyle w:val="BodyText"/>
      </w:pPr>
      <w:r>
        <w:rPr>
          <w:bCs/>
          <w:b/>
        </w:rPr>
        <w:t xml:space="preserve">6. Tax Compliance:</w:t>
      </w:r>
      <w:r>
        <w:t xml:space="preserve"> </w:t>
      </w:r>
      <w:r>
        <w:t xml:space="preserve">This Invoice has been generated and transmitted in compliance with the Electronic Tax Invoice (Sejong) system mandated by the National Tax Service of the Republic of Korea. The client is entitled to claim the VAT amount as a tax credit on their quarterly VAT return filed with the Seoul Metropolitan Tax Office.</w:t>
      </w:r>
    </w:p>
    <w:p>
      <w:pPr>
        <w:pStyle w:val="BodyText"/>
      </w:pPr>
      <w:r>
        <w:rPr>
          <w:bCs/>
          <w:b/>
        </w:rPr>
        <w:t xml:space="preserve">Authorized Signatory</w:t>
      </w:r>
    </w:p>
    <w:p>
      <w:pPr>
        <w:pStyle w:val="BodyText"/>
      </w:pPr>
      <w:r>
        <w:t xml:space="preserve">Kim Soo-jin, Esq. (김수진)</w:t>
      </w:r>
    </w:p>
    <w:p>
      <w:pPr>
        <w:pStyle w:val="BodyText"/>
      </w:pPr>
      <w:r>
        <w:t xml:space="preserve">Managing Partner, Seoul Han River Legal Counsel, PLLC</w:t>
      </w:r>
    </w:p>
    <w:p>
      <w:pPr>
        <w:pStyle w:val="BodyText"/>
      </w:pPr>
      <w:r>
        <w:t xml:space="preserve">Korean Bar Association Member No. 2019-04567</w:t>
      </w:r>
    </w:p>
    <w:p>
      <w:pPr>
        <w:pStyle w:val="BodyText"/>
      </w:pPr>
      <w:r>
        <w:t xml:space="preserve">Date: June 15, 2025   |   [Firm Seal / 도장]</w:t>
      </w:r>
    </w:p>
    <w:p>
      <w:pPr>
        <w:pStyle w:val="BodyText"/>
      </w:pPr>
      <w:r>
        <w:rPr>
          <w:bCs/>
          <w:b/>
        </w:rPr>
        <w:t xml:space="preserve">Seoul Han River Legal Counsel, PLLC</w:t>
      </w:r>
      <w:r>
        <w:t xml:space="preserve"> </w:t>
      </w:r>
      <w:r>
        <w:t xml:space="preserve">— 12F, 456 Teheran-ro, Gangnam-gu, Seoul, South Korea 06236</w:t>
      </w:r>
    </w:p>
    <w:p>
      <w:pPr>
        <w:pStyle w:val="BodyText"/>
      </w:pPr>
      <w:r>
        <w:t xml:space="preserve">This Invoice was prepared by the billing department of the firm and is valid for a period of ninety (90) days from the date of issue. For inquiries regarding this Invoice, please contact our billing office at +82-2-555-0147 or billing@seoulhanriverlegal.kr during business hours (Monday–Friday, 09:00–18:00 KST).</w:t>
      </w:r>
    </w:p>
    <w:p>
      <w:pPr>
        <w:pStyle w:val="BodyText"/>
      </w:pPr>
      <w:r>
        <w:t xml:space="preserve">© 2025 Seoul Han River Legal Counsel, PLLC. All rights reserved. This document is a legally binding Invoice issued under the laws of the Republic of Korea (South Korea). Unauthorized reproduction or distribution is prohibited.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Invoice - Seoul, South Korea</dc:title>
  <dc:creator/>
  <dc:language>en</dc:language>
  <cp:keywords/>
  <dcterms:created xsi:type="dcterms:W3CDTF">2026-10-10T09:09:16Z</dcterms:created>
  <dcterms:modified xsi:type="dcterms:W3CDTF">2026-10-10T09:09:16Z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