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Barcelona,</w:t>
      </w:r>
      <w:r>
        <w:t xml:space="preserve"> </w:t>
      </w:r>
      <w:r>
        <w:t xml:space="preserve">Spain</w:t>
      </w:r>
    </w:p>
    <w:bookmarkStart w:id="20" w:name="invoice"/>
    <w:p>
      <w:pPr>
        <w:pStyle w:val="Heading1"/>
      </w:pPr>
      <w:r>
        <w:t xml:space="preserve">INVOICE</w:t>
      </w:r>
    </w:p>
    <w:p>
      <w:pPr>
        <w:pStyle w:val="FirstParagraph"/>
      </w:pPr>
      <w:r>
        <w:t xml:space="preserve">Legal Services — Abogados &amp; Asesores Jurídicos</w:t>
      </w:r>
    </w:p>
    <w:p>
      <w:pPr>
        <w:pStyle w:val="BodyText"/>
      </w:pPr>
      <w:r>
        <w:t xml:space="preserve">Col·legi de l’Advocacia de Barcelona — Il·le de Catalunya, Spain</w:t>
      </w:r>
    </w:p>
    <w:bookmarkEnd w:id="20"/>
    <w:bookmarkStart w:id="21" w:name="law-firm-issuing-party"/>
    <w:p>
      <w:pPr>
        <w:pStyle w:val="Heading3"/>
      </w:pPr>
      <w:r>
        <w:t xml:space="preserve">Law Firm (Issuing Party)</w:t>
      </w:r>
    </w:p>
    <w:p>
      <w:pPr>
        <w:pStyle w:val="FirstParagraph"/>
      </w:pPr>
      <w:r>
        <w:rPr>
          <w:bCs/>
          <w:b/>
        </w:rPr>
        <w:t xml:space="preserve">Bufet d’Advocats Mireia Soler i Partners</w:t>
      </w:r>
    </w:p>
    <w:p>
      <w:pPr>
        <w:pStyle w:val="BodyText"/>
      </w:pPr>
      <w:r>
        <w:t xml:space="preserve">Av. Diagonal, 456, 3º 2ª</w:t>
      </w:r>
    </w:p>
    <w:p>
      <w:pPr>
        <w:pStyle w:val="BodyText"/>
      </w:pPr>
      <w:r>
        <w:t xml:space="preserve">08006 Barcelona, Catalunya</w:t>
      </w:r>
    </w:p>
    <w:p>
      <w:pPr>
        <w:pStyle w:val="BodyText"/>
      </w:pPr>
      <w:r>
        <w:t xml:space="preserve">Spain</w:t>
      </w:r>
    </w:p>
    <w:p>
      <w:pPr>
        <w:pStyle w:val="BodyText"/>
      </w:pPr>
      <w:r>
        <w:t xml:space="preserve">NIF: B-084521937</w:t>
      </w:r>
    </w:p>
    <w:p>
      <w:pPr>
        <w:pStyle w:val="BodyText"/>
      </w:pPr>
      <w:r>
        <w:t xml:space="preserve">Col·legi de l’Advocacia de Barcelona — Nº 45.821</w:t>
      </w:r>
    </w:p>
    <w:p>
      <w:pPr>
        <w:pStyle w:val="BodyText"/>
      </w:pPr>
      <w:r>
        <w:t xml:space="preserve">Tel: +34 932 554 871</w:t>
      </w:r>
    </w:p>
    <w:p>
      <w:pPr>
        <w:pStyle w:val="BodyText"/>
      </w:pPr>
      <w:r>
        <w:t xml:space="preserve">Email: info@bufetsoler.es</w:t>
      </w:r>
    </w:p>
    <w:bookmarkEnd w:id="21"/>
    <w:bookmarkStart w:id="22" w:name="client-billed-party"/>
    <w:p>
      <w:pPr>
        <w:pStyle w:val="Heading3"/>
      </w:pPr>
      <w:r>
        <w:t xml:space="preserve">Client (Billed Party)</w:t>
      </w:r>
    </w:p>
    <w:p>
      <w:pPr>
        <w:pStyle w:val="FirstParagraph"/>
      </w:pPr>
      <w:r>
        <w:rPr>
          <w:bCs/>
          <w:b/>
        </w:rPr>
        <w:t xml:space="preserve">Josep Maria Ferrer i Castellà</w:t>
      </w:r>
    </w:p>
    <w:p>
      <w:pPr>
        <w:pStyle w:val="BodyText"/>
      </w:pPr>
      <w:r>
        <w:t xml:space="preserve">Carrer de la Pau, 89, 1º 3ª</w:t>
      </w:r>
    </w:p>
    <w:p>
      <w:pPr>
        <w:pStyle w:val="BodyText"/>
      </w:pPr>
      <w:r>
        <w:t xml:space="preserve">08010 Barcelona, Catalunya</w:t>
      </w:r>
    </w:p>
    <w:p>
      <w:pPr>
        <w:pStyle w:val="BodyText"/>
      </w:pPr>
      <w:r>
        <w:t xml:space="preserve">Spain</w:t>
      </w:r>
    </w:p>
    <w:p>
      <w:pPr>
        <w:pStyle w:val="BodyText"/>
      </w:pPr>
      <w:r>
        <w:t xml:space="preserve">NIF: 48.293.716-K</w:t>
      </w:r>
    </w:p>
    <w:p>
      <w:pPr>
        <w:pStyle w:val="BodyText"/>
      </w:pPr>
      <w:r>
        <w:t xml:space="preserve">Client Reference: CS-2024-0387</w:t>
      </w:r>
    </w:p>
    <w:bookmarkEnd w:id="22"/>
    <w:p>
      <w:pPr>
        <w:pStyle w:val="BodyText"/>
      </w:pPr>
      <w:r>
        <w:rPr>
          <w:bCs/>
          <w:b/>
        </w:rPr>
        <w:t xml:space="preserve">Invoice Number:</w:t>
      </w:r>
      <w:r>
        <w:t xml:space="preserve"> </w:t>
      </w:r>
      <w:r>
        <w:t xml:space="preserve">INV-2024-0387-B</w:t>
      </w:r>
    </w:p>
    <w:p>
      <w:pPr>
        <w:pStyle w:val="BodyText"/>
      </w:pPr>
      <w:r>
        <w:rPr>
          <w:bCs/>
          <w:b/>
        </w:rPr>
        <w:t xml:space="preserve">Date of Issue:</w:t>
      </w:r>
      <w:r>
        <w:t xml:space="preserve"> </w:t>
      </w:r>
      <w:r>
        <w:t xml:space="preserve">14 June 2024</w:t>
      </w:r>
    </w:p>
    <w:p>
      <w:pPr>
        <w:pStyle w:val="BodyText"/>
      </w:pPr>
      <w:r>
        <w:rPr>
          <w:bCs/>
          <w:b/>
        </w:rPr>
        <w:t xml:space="preserve">Due Date:</w:t>
      </w:r>
      <w:r>
        <w:t xml:space="preserve"> </w:t>
      </w:r>
      <w:r>
        <w:t xml:space="preserve">14 July 2024</w:t>
      </w:r>
    </w:p>
    <w:p>
      <w:pPr>
        <w:pStyle w:val="BodyText"/>
      </w:pPr>
      <w:r>
        <w:rPr>
          <w:bCs/>
          <w:b/>
        </w:rPr>
        <w:t xml:space="preserve">Reference Case:</w:t>
      </w:r>
      <w:r>
        <w:t xml:space="preserve"> </w:t>
      </w:r>
      <w:r>
        <w:t xml:space="preserve">Civil Proceedings No. 1.247/2024 — Jutjat de Primera Instància No. 12 de Barcelona</w:t>
      </w:r>
    </w:p>
    <w:p>
      <w:pPr>
        <w:pStyle w:val="BodyText"/>
      </w:pPr>
      <w:r>
        <w:rPr>
          <w:bCs/>
          <w:b/>
        </w:rPr>
        <w:t xml:space="preserve">Currency:</w:t>
      </w:r>
      <w:r>
        <w:t xml:space="preserve"> </w:t>
      </w:r>
      <w:r>
        <w:t xml:space="preserve">EUR (€)</w:t>
      </w:r>
    </w:p>
    <w:bookmarkStart w:id="24" w:name="description-of-legal-services-rendered"/>
    <w:p>
      <w:pPr>
        <w:pStyle w:val="Heading2"/>
      </w:pPr>
      <w:r>
        <w:t xml:space="preserve">Description of Legal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legal consultation and case assessment regarding the civil dispute over property ownership of the residential unit located at Carrer de Gràcia, 234, Barcelona. Review of title deeds, municipal registry records from the Ajuntament de Barcelona, and applicable provisions of the Codi Civil de Catalunya.</w:t>
            </w:r>
          </w:p>
        </w:tc>
        <w:tc>
          <w:tcPr/>
          <w:p>
            <w:pPr>
              <w:pStyle w:val="Compact"/>
              <w:jc w:val="left"/>
            </w:pPr>
            <w:r>
              <w:t xml:space="preserve">2.5</w:t>
            </w:r>
          </w:p>
        </w:tc>
        <w:tc>
          <w:tcPr/>
          <w:p>
            <w:pPr>
              <w:pStyle w:val="Compact"/>
              <w:jc w:val="left"/>
            </w:pPr>
            <w:r>
              <w:t xml:space="preserve">€185.00</w:t>
            </w:r>
          </w:p>
        </w:tc>
        <w:tc>
          <w:tcPr/>
          <w:p>
            <w:pPr>
              <w:pStyle w:val="Compact"/>
              <w:jc w:val="left"/>
            </w:pPr>
            <w:r>
              <w:t xml:space="preserve">€462.50</w:t>
            </w:r>
          </w:p>
        </w:tc>
      </w:tr>
      <w:tr>
        <w:tc>
          <w:tcPr/>
          <w:p>
            <w:pPr>
              <w:pStyle w:val="Compact"/>
              <w:jc w:val="left"/>
            </w:pPr>
            <w:r>
              <w:t xml:space="preserve">02</w:t>
            </w:r>
          </w:p>
        </w:tc>
        <w:tc>
          <w:tcPr/>
          <w:p>
            <w:pPr>
              <w:pStyle w:val="Compact"/>
              <w:jc w:val="left"/>
            </w:pPr>
            <w:r>
              <w:t xml:space="preserve">Preparation and filing of the initial complaint (demanda) before the Jutjat de Primera Instància No. 12 de Barcelona. Drafting of legal arguments, compilation of supporting documentary evidence, and submission through the electronic court portal (LexNET) in accordance with the Ley de Enjuiciamiento Civil (LEC) and the Llei 13/2009 de la Generalitat de Catalunya.</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03</w:t>
            </w:r>
          </w:p>
        </w:tc>
        <w:tc>
          <w:tcPr/>
          <w:p>
            <w:pPr>
              <w:pStyle w:val="Compact"/>
              <w:jc w:val="left"/>
            </w:pPr>
            <w:r>
              <w:t xml:space="preserve">Representation of the client at the preliminary hearing (vista previa) held on 28 May 2024 at the Barcelona court. Preparation of oral arguments, cross-examination of the opposing party’s witnesses, and submission of additional evidence regarding the historical use and possession of the disputed property in the Eixample district of Barcelona.</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04</w:t>
            </w:r>
          </w:p>
        </w:tc>
        <w:tc>
          <w:tcPr/>
          <w:p>
            <w:pPr>
              <w:pStyle w:val="Compact"/>
              <w:jc w:val="left"/>
            </w:pPr>
            <w:r>
              <w:t xml:space="preserve">Drafting of the written legal brief (escrito de conclusiones) summarising the client’s position, citing relevant jurisprudence from the Tribunal Superior de Justícia de Catalunya and the Audiencia Provincial de Barcelona, and referencing applicable articles of the Codi Civil de Catalunya (Articles 555–570) and the Ley Hipotecaria.</w:t>
            </w:r>
          </w:p>
        </w:tc>
        <w:tc>
          <w:tcPr/>
          <w:p>
            <w:pPr>
              <w:pStyle w:val="Compact"/>
              <w:jc w:val="left"/>
            </w:pPr>
            <w:r>
              <w:t xml:space="preserve">6.5</w:t>
            </w:r>
          </w:p>
        </w:tc>
        <w:tc>
          <w:tcPr/>
          <w:p>
            <w:pPr>
              <w:pStyle w:val="Compact"/>
              <w:jc w:val="left"/>
            </w:pPr>
            <w:r>
              <w:t xml:space="preserve">€185.00</w:t>
            </w:r>
          </w:p>
        </w:tc>
        <w:tc>
          <w:tcPr/>
          <w:p>
            <w:pPr>
              <w:pStyle w:val="Compact"/>
              <w:jc w:val="left"/>
            </w:pPr>
            <w:r>
              <w:t xml:space="preserve">€1,202.50</w:t>
            </w:r>
          </w:p>
        </w:tc>
      </w:tr>
      <w:tr>
        <w:tc>
          <w:tcPr/>
          <w:p>
            <w:pPr>
              <w:pStyle w:val="Compact"/>
              <w:jc w:val="left"/>
            </w:pPr>
            <w:r>
              <w:t xml:space="preserve">05</w:t>
            </w:r>
          </w:p>
        </w:tc>
        <w:tc>
          <w:tcPr/>
          <w:p>
            <w:pPr>
              <w:pStyle w:val="Compact"/>
              <w:jc w:val="left"/>
            </w:pPr>
            <w:r>
              <w:t xml:space="preserve">Coordination with the court-appointed forensic appraiser (perito judicial) regarding the valuation of the Barcelona property. Review of the appraisal report, preparation of technical objections, and submission of a supplementary report to the court within the statutory deadline established by the LEC.</w:t>
            </w:r>
          </w:p>
        </w:tc>
        <w:tc>
          <w:tcPr/>
          <w:p>
            <w:pPr>
              <w:pStyle w:val="Compact"/>
              <w:jc w:val="left"/>
            </w:pPr>
            <w:r>
              <w:t xml:space="preserve">3.0</w:t>
            </w:r>
          </w:p>
        </w:tc>
        <w:tc>
          <w:tcPr/>
          <w:p>
            <w:pPr>
              <w:pStyle w:val="Compact"/>
              <w:jc w:val="left"/>
            </w:pPr>
            <w:r>
              <w:t xml:space="preserve">€185.00</w:t>
            </w:r>
          </w:p>
        </w:tc>
        <w:tc>
          <w:tcPr/>
          <w:p>
            <w:pPr>
              <w:pStyle w:val="Compact"/>
              <w:jc w:val="left"/>
            </w:pPr>
            <w:r>
              <w:t xml:space="preserve">€555.00</w:t>
            </w:r>
          </w:p>
        </w:tc>
      </w:tr>
      <w:tr>
        <w:tc>
          <w:tcPr/>
          <w:p>
            <w:pPr>
              <w:pStyle w:val="Compact"/>
              <w:jc w:val="left"/>
            </w:pPr>
            <w:r>
              <w:t xml:space="preserve">06</w:t>
            </w:r>
          </w:p>
        </w:tc>
        <w:tc>
          <w:tcPr/>
          <w:p>
            <w:pPr>
              <w:pStyle w:val="Compact"/>
              <w:jc w:val="left"/>
            </w:pPr>
            <w:r>
              <w:t xml:space="preserve">Administrative correspondence with the Registre de la Propietat de Barcelona, the Cadastre de Barcelona, and the Ajuntament de Barcelona urban planning department. Retrieval of municipal licences, building permits, and cadastral certificates necessary to substantiate the client’s ownership claim.</w:t>
            </w:r>
          </w:p>
        </w:tc>
        <w:tc>
          <w:tcPr/>
          <w:p>
            <w:pPr>
              <w:pStyle w:val="Compact"/>
              <w:jc w:val="left"/>
            </w:pPr>
            <w:r>
              <w:t xml:space="preserve">2.0</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07</w:t>
            </w:r>
          </w:p>
        </w:tc>
        <w:tc>
          <w:tcPr/>
          <w:p>
            <w:pPr>
              <w:pStyle w:val="Compact"/>
              <w:jc w:val="left"/>
            </w:pPr>
            <w:r>
              <w:t xml:space="preserve">Client advisory meetings (three sessions) held at the law firm offices on Av. Diagonal, Barcelona, to update the client on procedural developments, explain the legal implications of the court’s interim orders, and discuss potential settlement strategies in accordance with the client’s instructions.</w:t>
            </w:r>
          </w:p>
        </w:tc>
        <w:tc>
          <w:tcPr/>
          <w:p>
            <w:pPr>
              <w:pStyle w:val="Compact"/>
              <w:jc w:val="left"/>
            </w:pPr>
            <w:r>
              <w:t xml:space="preserve">3.0</w:t>
            </w:r>
          </w:p>
        </w:tc>
        <w:tc>
          <w:tcPr/>
          <w:p>
            <w:pPr>
              <w:pStyle w:val="Compact"/>
              <w:jc w:val="left"/>
            </w:pPr>
            <w:r>
              <w:t xml:space="preserve">€185.00</w:t>
            </w:r>
          </w:p>
        </w:tc>
        <w:tc>
          <w:tcPr/>
          <w:p>
            <w:pPr>
              <w:pStyle w:val="Compact"/>
              <w:jc w:val="left"/>
            </w:pPr>
            <w:r>
              <w:t xml:space="preserve">€555.00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€5,365.00</w:t>
            </w:r>
          </w:p>
        </w:tc>
      </w:tr>
      <w:tr>
        <w:tc>
          <w:tcPr/>
          <w:p>
            <w:pPr>
              <w:pStyle w:val="Compact"/>
              <w:jc w:val="left"/>
            </w:pPr>
            <w:r>
              <w:t xml:space="preserve">Disbursements &amp; Court Fees (Tasas Judiciales)</w:t>
            </w:r>
          </w:p>
        </w:tc>
        <w:tc>
          <w:tcPr/>
          <w:p>
            <w:pPr>
              <w:pStyle w:val="Compact"/>
              <w:jc w:val="right"/>
            </w:pPr>
            <w:r>
              <w:t xml:space="preserve">€312.40</w:t>
            </w:r>
          </w:p>
        </w:tc>
      </w:tr>
      <w:tr>
        <w:tc>
          <w:tcPr/>
          <w:p>
            <w:pPr>
              <w:pStyle w:val="Compact"/>
              <w:jc w:val="left"/>
            </w:pPr>
            <w:r>
              <w:t xml:space="preserve">Subtotal Before Tax</w:t>
            </w:r>
          </w:p>
        </w:tc>
        <w:tc>
          <w:tcPr/>
          <w:p>
            <w:pPr>
              <w:pStyle w:val="Compact"/>
              <w:jc w:val="right"/>
            </w:pPr>
            <w:r>
              <w:t xml:space="preserve">€5,677.40</w:t>
            </w:r>
          </w:p>
        </w:tc>
      </w:tr>
      <w:tr>
        <w:tc>
          <w:tcPr/>
          <w:p>
            <w:pPr>
              <w:pStyle w:val="Compact"/>
              <w:jc w:val="left"/>
            </w:pPr>
            <w:r>
              <w:t xml:space="preserve">IVA (21% — Spanish Value Added Tax)</w:t>
            </w:r>
          </w:p>
        </w:tc>
        <w:tc>
          <w:tcPr/>
          <w:p>
            <w:pPr>
              <w:pStyle w:val="Compact"/>
              <w:jc w:val="right"/>
            </w:pPr>
            <w:r>
              <w:t xml:space="preserve">€1,192.25</w:t>
            </w:r>
          </w:p>
        </w:tc>
      </w:tr>
      <w:tr>
        <w:tc>
          <w:tcPr/>
          <w:p>
            <w:pPr>
              <w:pStyle w:val="Compact"/>
              <w:jc w:val="left"/>
            </w:pPr>
            <w:r>
              <w:t xml:space="preserve">TOTAL AMOUNT DUE</w:t>
            </w:r>
          </w:p>
        </w:tc>
        <w:tc>
          <w:tcPr/>
          <w:p>
            <w:pPr>
              <w:pStyle w:val="Compact"/>
              <w:jc w:val="right"/>
            </w:pPr>
            <w:r>
              <w:t xml:space="preserve">€6,869.65</w:t>
            </w:r>
          </w:p>
        </w:tc>
      </w:tr>
    </w:tbl>
    <w:bookmarkStart w:id="23" w:name="payment-terms-instructions"/>
    <w:p>
      <w:pPr>
        <w:pStyle w:val="Heading3"/>
      </w:pPr>
      <w:r>
        <w:t xml:space="preserve">Payment Terms &amp; Instructions</w:t>
      </w:r>
    </w:p>
    <w:p>
      <w:pPr>
        <w:pStyle w:val="FirstParagraph"/>
      </w:pPr>
      <w:r>
        <w:rPr>
          <w:bCs/>
          <w:b/>
        </w:rPr>
        <w:t xml:space="preserve">Payment Method:</w:t>
      </w:r>
      <w:r>
        <w:t xml:space="preserve"> </w:t>
      </w:r>
      <w:r>
        <w:t xml:space="preserve">Bank transfer (Transferència Bancària)</w:t>
      </w:r>
    </w:p>
    <w:p>
      <w:pPr>
        <w:pStyle w:val="BodyText"/>
      </w:pPr>
      <w:r>
        <w:rPr>
          <w:bCs/>
          <w:b/>
        </w:rPr>
        <w:t xml:space="preserve">IBAN:</w:t>
      </w:r>
      <w:r>
        <w:t xml:space="preserve"> </w:t>
      </w:r>
      <w:r>
        <w:t xml:space="preserve">ES21 0081 5240 3100 0123 4567</w:t>
      </w:r>
    </w:p>
    <w:p>
      <w:pPr>
        <w:pStyle w:val="BodyText"/>
      </w:pPr>
      <w:r>
        <w:rPr>
          <w:bCs/>
          <w:b/>
        </w:rPr>
        <w:t xml:space="preserve">BIC/SWIFT:</w:t>
      </w:r>
      <w:r>
        <w:t xml:space="preserve"> </w:t>
      </w:r>
      <w:r>
        <w:t xml:space="preserve">CAIXESBB</w:t>
      </w:r>
    </w:p>
    <w:p>
      <w:pPr>
        <w:pStyle w:val="BodyText"/>
      </w:pPr>
      <w:r>
        <w:rPr>
          <w:bCs/>
          <w:b/>
        </w:rPr>
        <w:t xml:space="preserve">Reference:</w:t>
      </w:r>
      <w:r>
        <w:t xml:space="preserve"> </w:t>
      </w:r>
      <w:r>
        <w:t xml:space="preserve">INV-2024-0387-B / CS-2024-0387</w:t>
      </w:r>
    </w:p>
    <w:p>
      <w:pPr>
        <w:pStyle w:val="BodyText"/>
      </w:pPr>
      <w:r>
        <w:rPr>
          <w:bCs/>
          <w:b/>
        </w:rPr>
        <w:t xml:space="preserve">Due Date:</w:t>
      </w:r>
      <w:r>
        <w:t xml:space="preserve"> </w:t>
      </w:r>
      <w:r>
        <w:t xml:space="preserve">14 July 2024 (30 days from the date of issue)</w:t>
      </w:r>
    </w:p>
    <w:p>
      <w:pPr>
        <w:pStyle w:val="BodyText"/>
      </w:pPr>
      <w:r>
        <w:rPr>
          <w:bCs/>
          <w:b/>
        </w:rPr>
        <w:t xml:space="preserve">Late Payment:</w:t>
      </w:r>
      <w:r>
        <w:t xml:space="preserve"> </w:t>
      </w:r>
      <w:r>
        <w:t xml:space="preserve">In accordance with the Spanish Ley 3/2004 de lucha contra la morosidad en las operaciones comerciales, a late payment interest rate of 8.5% per annum shall apply to any outstanding balance after the due date. Additionally, a fixed compensation amount of €40.00 for recovery costs shall be charged as permitted under Article 20 of the said law.</w:t>
      </w:r>
    </w:p>
    <w:p>
      <w:pPr>
        <w:pStyle w:val="BodyText"/>
      </w:pPr>
      <w:r>
        <w:rPr>
          <w:bCs/>
          <w:b/>
        </w:rPr>
        <w:t xml:space="preserve">Disputes:</w:t>
      </w:r>
      <w:r>
        <w:t xml:space="preserve"> </w:t>
      </w:r>
      <w:r>
        <w:t xml:space="preserve">Any dispute regarding this invoice shall be subject to the exclusive jurisdiction of the courts and tribunals of Barcelona, Spain, in accordance with the terms of the retainer agreement signed on 12 January 2024.</w:t>
      </w:r>
    </w:p>
    <w:bookmarkEnd w:id="23"/>
    <w:p>
      <w:pPr>
        <w:pStyle w:val="BodyText"/>
      </w:pPr>
      <w:r>
        <w:rPr>
          <w:bCs/>
          <w:b/>
        </w:rPr>
        <w:t xml:space="preserve">Important Legal Notice:</w:t>
      </w:r>
      <w:r>
        <w:t xml:space="preserve"> </w:t>
      </w:r>
      <w:r>
        <w:t xml:space="preserve">This invoice is issued by Bufet d’Advocats Mireia Soler i Partners, a law firm duly registered with the Col·legi de l’Advocacia de Barcelona (Bar Association of Barcelona) under registration number 45.821. All legal services described herein have been rendered in strict compliance with the Estatut de l’Advocacia de Catalunya (Decret 178/1993), the Codi Deontològic de l’Advocacia, and the applicable provisions of the Spanish Ley 2/1974 del Colejio de Abogados as adapted for the autonomous community of Catalunya.</w:t>
      </w:r>
    </w:p>
    <w:p>
      <w:pPr>
        <w:pStyle w:val="BodyText"/>
      </w:pPr>
      <w:r>
        <w:t xml:space="preserve">The professional fees set forth in this invoice correspond to the hourly rate agreed upon in the written retainer contract (Contrat de Prestació de Serveis Jurídics) executed between the parties on 12 January 2024. The disbursements and court fees listed are third-party costs incurred on behalf of the client in the course of the proceedings before the Barcelona courts and are charged at cost without any markup.</w:t>
      </w:r>
    </w:p>
    <w:p>
      <w:pPr>
        <w:pStyle w:val="BodyText"/>
      </w:pPr>
      <w:r>
        <w:t xml:space="preserve">This invoice constitutes a valid tax document (document fiscal) under the Spanish Ley 37/1992 del Impuesto sobre el Valor Añadido (Ley del IVA) and the Reglamento del IVA (Real Decreto 1624/1993). The 21% IVA rate applied is the general rate established for legal and professional services in Spain. The NIF (Número de Identificación Fiscal) of both the issuing firm and the client is included as required by Spanish tax legislation.</w:t>
      </w:r>
    </w:p>
    <w:p>
      <w:pPr>
        <w:pStyle w:val="BodyText"/>
      </w:pPr>
      <w:r>
        <w:t xml:space="preserve">By accepting this invoice, the client acknowledges receipt of the legal services described and agrees to the payment terms set forth above. This document, together with the retainer agreement and any supplementary instructions, forms the complete record of the professional relationship between the law firm and the client for the matter referenced herein.</w:t>
      </w:r>
    </w:p>
    <w:p>
      <w:pPr>
        <w:pStyle w:val="BodyText"/>
      </w:pPr>
      <w:r>
        <w:t xml:space="preserve">This invoice is valid for a period of five (5) years from the date of issue, in accordance with the statutory retention period for tax documents under the Spanish Ley 58/2003 General Tributaria.</w:t>
      </w:r>
    </w:p>
    <w:p>
      <w:pPr>
        <w:pStyle w:val="BodyText"/>
      </w:pPr>
      <w:r>
        <w:t xml:space="preserve">Issued in Barcelona, Catalunya, Spain — 14 June 2024</w:t>
      </w:r>
    </w:p>
    <w:p>
      <w:pPr>
        <w:pStyle w:val="BodyText"/>
      </w:pPr>
      <w:r>
        <w:t xml:space="preserve">Per — Mireia Soler i Vives, Col·legiada Nº 45.821, Col·legi de l’Advocacia de Barcelona</w:t>
      </w:r>
    </w:p>
    <w:p>
      <w:pPr>
        <w:pStyle w:val="BodyText"/>
      </w:pPr>
      <w:r>
        <w:t xml:space="preserve">Digital signature: Mireia Soler i Vives — DNI 48.293.716-K — Validated via LexNET electronic certificate</w:t>
      </w:r>
    </w:p>
    <w:p>
      <w:pPr>
        <w:pStyle w:val="BodyText"/>
      </w:pPr>
      <w:r>
        <w:t xml:space="preserve">Bufet d’Advocats Mireia Soler i Partners — Av. Diagonal, 456, 3º 2ª, 08006 Barcelona, Catalunya, Spain</w:t>
      </w:r>
    </w:p>
    <w:p>
      <w:pPr>
        <w:pStyle w:val="BodyText"/>
      </w:pPr>
      <w:r>
        <w:t xml:space="preserve">NIF: B-084521937 — Col·legi de l’Advocacia de Barcelona Nº 45.821 — Tel: +34 932 554 871 — info@bufetsoler.es</w:t>
      </w:r>
    </w:p>
    <w:p>
      <w:pPr>
        <w:pStyle w:val="BodyText"/>
      </w:pPr>
      <w:r>
        <w:t xml:space="preserve">This invoice was generated in accordance with the legal and tax regulations of the Kingdom of Spain and the Autonomous Community of Catalunya. For any queries regarding this document, please contact the firm’s administrative office during business hours (Monday to Friday, 9:00–18:00 CET).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Barcelona, Spain</dc:title>
  <dc:creator/>
  <dc:language>en</dc:language>
  <cp:keywords/>
  <dcterms:created xsi:type="dcterms:W3CDTF">2026-10-10T08:36:04Z</dcterms:created>
  <dcterms:modified xsi:type="dcterms:W3CDTF">2026-10-10T08:36:04Z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