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Legal</w:t>
      </w:r>
      <w:r>
        <w:t xml:space="preserve"> </w:t>
      </w:r>
      <w:r>
        <w:t xml:space="preserve">Invoice</w:t>
      </w:r>
      <w:r>
        <w:t xml:space="preserve"> </w:t>
      </w:r>
      <w:r>
        <w:t xml:space="preserve">-</w:t>
      </w:r>
      <w:r>
        <w:t xml:space="preserve"> </w:t>
      </w:r>
      <w:r>
        <w:t xml:space="preserve">Zurich,</w:t>
      </w:r>
      <w:r>
        <w:t xml:space="preserve"> </w:t>
      </w:r>
      <w:r>
        <w:t xml:space="preserve">Switzerland</w:t>
      </w:r>
    </w:p>
    <w:p>
      <w:pPr>
        <w:pStyle w:val="FirstParagraph"/>
      </w:pPr>
      <w:r>
        <w:t xml:space="preserve">Brunner, Keller &amp; Wirth Rechtsanwälte AG</w:t>
      </w:r>
    </w:p>
    <w:p>
      <w:pPr>
        <w:pStyle w:val="BodyText"/>
      </w:pPr>
      <w:r>
        <w:t xml:space="preserve">Bahnhofstrasse 142, 8001 Zurich, Switzerland</w:t>
      </w:r>
      <w:r>
        <w:br/>
      </w:r>
      <w:r>
        <w:t xml:space="preserve">Tel: +41 44 210 55 88  |  Fax: +41 44 210 55 89  |  E-Mail: office@bkw-lawyers.ch</w:t>
      </w:r>
      <w:r>
        <w:br/>
      </w:r>
      <w:r>
        <w:t xml:space="preserve">UID: CHE-112.345.678  |  MWST-Nr.: CHE-112.345.678 MWST</w:t>
      </w:r>
    </w:p>
    <w:p>
      <w:pPr>
        <w:pStyle w:val="BodyText"/>
      </w:pPr>
      <w:r>
        <w:t xml:space="preserve">INVOICE</w:t>
      </w:r>
    </w:p>
    <w:p>
      <w:pPr>
        <w:pStyle w:val="BodyText"/>
      </w:pPr>
      <w:r>
        <w:t xml:space="preserve">Invoice No.: BKW-2025-00487</w:t>
      </w:r>
    </w:p>
    <w:p>
      <w:pPr>
        <w:pStyle w:val="BodyText"/>
      </w:pPr>
      <w:r>
        <w:t xml:space="preserve">Date of Issue: 15 June 2025</w:t>
      </w:r>
    </w:p>
    <w:p>
      <w:pPr>
        <w:pStyle w:val="BodyText"/>
      </w:pPr>
      <w:r>
        <w:t xml:space="preserve">Due Date: 15 July 2025</w:t>
      </w:r>
    </w:p>
    <w:p>
      <w:pPr>
        <w:pStyle w:val="BodyText"/>
      </w:pPr>
      <w:r>
        <w:t xml:space="preserve">Reference: Case No. 2025-CV-0312</w:t>
      </w:r>
    </w:p>
    <w:p>
      <w:pPr>
        <w:pStyle w:val="BodyText"/>
      </w:pPr>
      <w:r>
        <w:t xml:space="preserve">Billed To (Client)</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r>
              <w:t xml:space="preserve"> </w:t>
            </w:r>
            <w:r>
              <w:t xml:space="preserve">Dr. Markus Steiner</w:t>
            </w:r>
          </w:p>
        </w:tc>
        <w:tc>
          <w:tcPr/>
          <w:p>
            <w:pPr>
              <w:pStyle w:val="Compact"/>
              <w:jc w:val="left"/>
            </w:pPr>
            <w:r>
              <w:rPr>
                <w:bCs/>
                <w:b/>
              </w:rPr>
              <w:t xml:space="preserve">Client UID:</w:t>
            </w:r>
            <w:r>
              <w:t xml:space="preserve"> </w:t>
            </w:r>
            <w:r>
              <w:t xml:space="preserve">CHE-297.881.204</w:t>
            </w:r>
          </w:p>
        </w:tc>
      </w:tr>
      <w:tr>
        <w:tc>
          <w:tcPr/>
          <w:p>
            <w:pPr>
              <w:pStyle w:val="Compact"/>
              <w:jc w:val="left"/>
            </w:pPr>
            <w:r>
              <w:rPr>
                <w:bCs/>
                <w:b/>
              </w:rPr>
              <w:t xml:space="preserve">Address:</w:t>
            </w:r>
            <w:r>
              <w:t xml:space="preserve"> </w:t>
            </w:r>
            <w:r>
              <w:t xml:space="preserve">Seefeldstrasse 89, 8008 Zurich, Switzerland</w:t>
            </w:r>
          </w:p>
        </w:tc>
        <w:tc>
          <w:tcPr/>
          <w:p>
            <w:pPr>
              <w:pStyle w:val="Compact"/>
              <w:jc w:val="left"/>
            </w:pPr>
            <w:r>
              <w:rPr>
                <w:bCs/>
                <w:b/>
              </w:rPr>
              <w:t xml:space="preserve">Phone:</w:t>
            </w:r>
            <w:r>
              <w:t xml:space="preserve"> </w:t>
            </w:r>
            <w:r>
              <w:t xml:space="preserve">+41 79 442 18 33</w:t>
            </w:r>
          </w:p>
        </w:tc>
      </w:tr>
      <w:tr>
        <w:tc>
          <w:tcPr/>
          <w:p>
            <w:pPr>
              <w:pStyle w:val="Compact"/>
              <w:jc w:val="left"/>
            </w:pPr>
            <w:r>
              <w:rPr>
                <w:bCs/>
                <w:b/>
              </w:rPr>
              <w:t xml:space="preserve">Email:</w:t>
            </w:r>
            <w:r>
              <w:t xml:space="preserve"> </w:t>
            </w:r>
            <w:r>
              <w:t xml:space="preserve">m.steiner@steiner-consulting.ch</w:t>
            </w:r>
          </w:p>
        </w:tc>
        <w:tc>
          <w:tcPr/>
          <w:p>
            <w:pPr>
              <w:pStyle w:val="Compact"/>
              <w:jc w:val="left"/>
            </w:pPr>
            <w:r>
              <w:rPr>
                <w:bCs/>
                <w:b/>
              </w:rPr>
              <w:t xml:space="preserve">Client Ref:</w:t>
            </w:r>
            <w:r>
              <w:t xml:space="preserve"> </w:t>
            </w:r>
            <w:r>
              <w:t xml:space="preserve">SC-2025-114</w:t>
            </w:r>
          </w:p>
        </w:tc>
      </w:tr>
    </w:tbl>
    <w:p>
      <w:pPr>
        <w:pStyle w:val="BodyText"/>
      </w:pPr>
      <w:r>
        <w:t xml:space="preserve">Description of Legal Services Rendered</w:t>
      </w:r>
    </w:p>
    <w:p>
      <w:pPr>
        <w:pStyle w:val="BodyText"/>
      </w:pPr>
      <w:r>
        <w:t xml:space="preserve">This Invoice is issued by the undersigned Lawyer, acting as the retained legal counsel for the above-named client, in accordance with the engagement letter dated 3 March 2025 and the applicable provisions of the Swiss Code of Obligations (OR) and the Federal Act on the Free Movement of Lawyers (FFLG). The following professional legal services were performed by our law firm, Brunner, Keller &amp; Wirth Rechtsanwälte AG, located in Switzerland Zurich, during the billing period from 1 April 2025 to 31 May 2025:</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(CHF)</w:t>
            </w:r>
          </w:p>
        </w:tc>
        <w:tc>
          <w:tcPr/>
          <w:p>
            <w:pPr>
              <w:pStyle w:val="Compact"/>
              <w:jc w:val="left"/>
            </w:pPr>
            <w:r>
              <w:t xml:space="preserve">Amount (CHF)</w:t>
            </w:r>
          </w:p>
        </w:tc>
      </w:tr>
      <w:tr>
        <w:tc>
          <w:tcPr/>
          <w:p>
            <w:pPr>
              <w:pStyle w:val="Compact"/>
              <w:jc w:val="left"/>
            </w:pPr>
            <w:r>
              <w:t xml:space="preserve">1</w:t>
            </w:r>
          </w:p>
        </w:tc>
        <w:tc>
          <w:tcPr/>
          <w:p>
            <w:pPr>
              <w:pStyle w:val="Compact"/>
              <w:jc w:val="left"/>
            </w:pPr>
            <w:r>
              <w:t xml:space="preserve">Initial consultation and case assessment regarding the commercial lease dispute with Nordwind Immobilien AG; preparation of legal strategy memorandum</w:t>
            </w:r>
          </w:p>
        </w:tc>
        <w:tc>
          <w:tcPr/>
          <w:p>
            <w:pPr>
              <w:pStyle w:val="Compact"/>
              <w:jc w:val="left"/>
            </w:pPr>
            <w:r>
              <w:t xml:space="preserve">04 Apr 2025</w:t>
            </w:r>
          </w:p>
        </w:tc>
        <w:tc>
          <w:tcPr/>
          <w:p>
            <w:pPr>
              <w:pStyle w:val="Compact"/>
              <w:jc w:val="left"/>
            </w:pPr>
            <w:r>
              <w:t xml:space="preserve">3.5</w:t>
            </w:r>
          </w:p>
        </w:tc>
        <w:tc>
          <w:tcPr/>
          <w:p>
            <w:pPr>
              <w:pStyle w:val="Compact"/>
              <w:jc w:val="left"/>
            </w:pPr>
            <w:r>
              <w:t xml:space="preserve">280.00</w:t>
            </w:r>
          </w:p>
        </w:tc>
        <w:tc>
          <w:tcPr/>
          <w:p>
            <w:pPr>
              <w:pStyle w:val="Compact"/>
              <w:jc w:val="left"/>
            </w:pPr>
            <w:r>
              <w:t xml:space="preserve">980.00</w:t>
            </w:r>
          </w:p>
        </w:tc>
      </w:tr>
      <w:tr>
        <w:tc>
          <w:tcPr/>
          <w:p>
            <w:pPr>
              <w:pStyle w:val="Compact"/>
              <w:jc w:val="left"/>
            </w:pPr>
            <w:r>
              <w:t xml:space="preserve">2</w:t>
            </w:r>
          </w:p>
        </w:tc>
        <w:tc>
          <w:tcPr/>
          <w:p>
            <w:pPr>
              <w:pStyle w:val="Compact"/>
              <w:jc w:val="left"/>
            </w:pPr>
            <w:r>
              <w:t xml:space="preserve">Drafting and filing of the statement of claim (Klage) before the Zurich District Court (Bezirksgericht Zürich), including compilation of supporting documentation and evidence annexes</w:t>
            </w:r>
          </w:p>
        </w:tc>
        <w:tc>
          <w:tcPr/>
          <w:p>
            <w:pPr>
              <w:pStyle w:val="Compact"/>
              <w:jc w:val="left"/>
            </w:pPr>
            <w:r>
              <w:t xml:space="preserve">11–18 Apr 2025</w:t>
            </w:r>
          </w:p>
        </w:tc>
        <w:tc>
          <w:tcPr/>
          <w:p>
            <w:pPr>
              <w:pStyle w:val="Compact"/>
              <w:jc w:val="left"/>
            </w:pPr>
            <w:r>
              <w:t xml:space="preserve">12.0</w:t>
            </w:r>
          </w:p>
        </w:tc>
        <w:tc>
          <w:tcPr/>
          <w:p>
            <w:pPr>
              <w:pStyle w:val="Compact"/>
              <w:jc w:val="left"/>
            </w:pPr>
            <w:r>
              <w:t xml:space="preserve">280.00</w:t>
            </w:r>
          </w:p>
        </w:tc>
        <w:tc>
          <w:tcPr/>
          <w:p>
            <w:pPr>
              <w:pStyle w:val="Compact"/>
              <w:jc w:val="left"/>
            </w:pPr>
            <w:r>
              <w:t xml:space="preserve">3,360.00</w:t>
            </w:r>
          </w:p>
        </w:tc>
      </w:tr>
      <w:tr>
        <w:tc>
          <w:tcPr/>
          <w:p>
            <w:pPr>
              <w:pStyle w:val="Compact"/>
              <w:jc w:val="left"/>
            </w:pPr>
            <w:r>
              <w:t xml:space="preserve">3</w:t>
            </w:r>
          </w:p>
        </w:tc>
        <w:tc>
          <w:tcPr/>
          <w:p>
            <w:pPr>
              <w:pStyle w:val="Compact"/>
              <w:jc w:val="left"/>
            </w:pPr>
            <w:r>
              <w:t xml:space="preserve">Correspondence with opposing counsel (Müller &amp; Partner, Zürich); negotiation of interim payment terms; preparation of settlement proposal</w:t>
            </w:r>
          </w:p>
        </w:tc>
        <w:tc>
          <w:tcPr/>
          <w:p>
            <w:pPr>
              <w:pStyle w:val="Compact"/>
              <w:jc w:val="left"/>
            </w:pPr>
            <w:r>
              <w:t xml:space="preserve">22 Apr – 05 May 2025</w:t>
            </w:r>
          </w:p>
        </w:tc>
        <w:tc>
          <w:tcPr/>
          <w:p>
            <w:pPr>
              <w:pStyle w:val="Compact"/>
              <w:jc w:val="left"/>
            </w:pPr>
            <w:r>
              <w:t xml:space="preserve">6.5</w:t>
            </w:r>
          </w:p>
        </w:tc>
        <w:tc>
          <w:tcPr/>
          <w:p>
            <w:pPr>
              <w:pStyle w:val="Compact"/>
              <w:jc w:val="left"/>
            </w:pPr>
            <w:r>
              <w:t xml:space="preserve">280.00</w:t>
            </w:r>
          </w:p>
        </w:tc>
        <w:tc>
          <w:tcPr/>
          <w:p>
            <w:pPr>
              <w:pStyle w:val="Compact"/>
              <w:jc w:val="left"/>
            </w:pPr>
            <w:r>
              <w:t xml:space="preserve">1,820.00</w:t>
            </w:r>
          </w:p>
        </w:tc>
      </w:tr>
      <w:tr>
        <w:tc>
          <w:tcPr/>
          <w:p>
            <w:pPr>
              <w:pStyle w:val="Compact"/>
              <w:jc w:val="left"/>
            </w:pPr>
            <w:r>
              <w:t xml:space="preserve">4</w:t>
            </w:r>
          </w:p>
        </w:tc>
        <w:tc>
          <w:tcPr/>
          <w:p>
            <w:pPr>
              <w:pStyle w:val="Compact"/>
              <w:jc w:val="left"/>
            </w:pPr>
            <w:r>
              <w:t xml:space="preserve">Attendance at the first hearing before the Zurich District Court; oral argumentation on behalf of the client; post-hearing written submissions</w:t>
            </w:r>
          </w:p>
        </w:tc>
        <w:tc>
          <w:tcPr/>
          <w:p>
            <w:pPr>
              <w:pStyle w:val="Compact"/>
              <w:jc w:val="left"/>
            </w:pPr>
            <w:r>
              <w:t xml:space="preserve">14 May 2025</w:t>
            </w:r>
          </w:p>
        </w:tc>
        <w:tc>
          <w:tcPr/>
          <w:p>
            <w:pPr>
              <w:pStyle w:val="Compact"/>
              <w:jc w:val="left"/>
            </w:pPr>
            <w:r>
              <w:t xml:space="preserve">8.0</w:t>
            </w:r>
          </w:p>
        </w:tc>
        <w:tc>
          <w:tcPr/>
          <w:p>
            <w:pPr>
              <w:pStyle w:val="Compact"/>
              <w:jc w:val="left"/>
            </w:pPr>
            <w:r>
              <w:t xml:space="preserve">280.00</w:t>
            </w:r>
          </w:p>
        </w:tc>
        <w:tc>
          <w:tcPr/>
          <w:p>
            <w:pPr>
              <w:pStyle w:val="Compact"/>
              <w:jc w:val="left"/>
            </w:pPr>
            <w:r>
              <w:t xml:space="preserve">2,240.00</w:t>
            </w:r>
          </w:p>
        </w:tc>
      </w:tr>
      <w:tr>
        <w:tc>
          <w:tcPr/>
          <w:p>
            <w:pPr>
              <w:pStyle w:val="Compact"/>
              <w:jc w:val="left"/>
            </w:pPr>
            <w:r>
              <w:t xml:space="preserve">5</w:t>
            </w:r>
          </w:p>
        </w:tc>
        <w:tc>
          <w:tcPr/>
          <w:p>
            <w:pPr>
              <w:pStyle w:val="Compact"/>
              <w:jc w:val="left"/>
            </w:pPr>
            <w:r>
              <w:t xml:space="preserve">Review and analysis of expert report (Sachverständigengutachten) on property valuation; preparation of rebuttal memorandum and supplementary legal opinion</w:t>
            </w:r>
          </w:p>
        </w:tc>
        <w:tc>
          <w:tcPr/>
          <w:p>
            <w:pPr>
              <w:pStyle w:val="Compact"/>
              <w:jc w:val="left"/>
            </w:pPr>
            <w:r>
              <w:t xml:space="preserve">19–28 May 2025</w:t>
            </w:r>
          </w:p>
        </w:tc>
        <w:tc>
          <w:tcPr/>
          <w:p>
            <w:pPr>
              <w:pStyle w:val="Compact"/>
              <w:jc w:val="left"/>
            </w:pPr>
            <w:r>
              <w:t xml:space="preserve">9.5</w:t>
            </w:r>
          </w:p>
        </w:tc>
        <w:tc>
          <w:tcPr/>
          <w:p>
            <w:pPr>
              <w:pStyle w:val="Compact"/>
              <w:jc w:val="left"/>
            </w:pPr>
            <w:r>
              <w:t xml:space="preserve">280.00</w:t>
            </w:r>
          </w:p>
        </w:tc>
        <w:tc>
          <w:tcPr/>
          <w:p>
            <w:pPr>
              <w:pStyle w:val="Compact"/>
              <w:jc w:val="left"/>
            </w:pPr>
            <w:r>
              <w:t xml:space="preserve">2,660.00</w:t>
            </w:r>
          </w:p>
        </w:tc>
      </w:tr>
      <w:tr>
        <w:tc>
          <w:tcPr/>
          <w:p>
            <w:pPr>
              <w:pStyle w:val="Compact"/>
              <w:jc w:val="left"/>
            </w:pPr>
            <w:r>
              <w:t xml:space="preserve">6</w:t>
            </w:r>
          </w:p>
        </w:tc>
        <w:tc>
          <w:tcPr/>
          <w:p>
            <w:pPr>
              <w:pStyle w:val="Compact"/>
              <w:jc w:val="left"/>
            </w:pPr>
            <w:r>
              <w:t xml:space="preserve">Client advisory call regarding procedural next steps, risk assessment, and updated timeline for the litigation process in Switzerland Zurich</w:t>
            </w:r>
          </w:p>
        </w:tc>
        <w:tc>
          <w:tcPr/>
          <w:p>
            <w:pPr>
              <w:pStyle w:val="Compact"/>
              <w:jc w:val="left"/>
            </w:pPr>
            <w:r>
              <w:t xml:space="preserve">30 May 2025</w:t>
            </w:r>
          </w:p>
        </w:tc>
        <w:tc>
          <w:tcPr/>
          <w:p>
            <w:pPr>
              <w:pStyle w:val="Compact"/>
              <w:jc w:val="left"/>
            </w:pPr>
            <w:r>
              <w:t xml:space="preserve">1.5</w:t>
            </w:r>
          </w:p>
        </w:tc>
        <w:tc>
          <w:tcPr/>
          <w:p>
            <w:pPr>
              <w:pStyle w:val="Compact"/>
              <w:jc w:val="left"/>
            </w:pPr>
            <w:r>
              <w:t xml:space="preserve">280.00</w:t>
            </w:r>
          </w:p>
        </w:tc>
        <w:tc>
          <w:tcPr/>
          <w:p>
            <w:pPr>
              <w:pStyle w:val="Compact"/>
              <w:jc w:val="left"/>
            </w:pPr>
            <w:r>
              <w:t xml:space="preserve">420.00</w:t>
            </w:r>
          </w:p>
        </w:tc>
      </w:tr>
      <w:tr>
        <w:tc>
          <w:tcPr/>
          <w:p>
            <w:pPr>
              <w:pStyle w:val="Compact"/>
              <w:jc w:val="left"/>
            </w:pPr>
            <w:r>
              <w:t xml:space="preserve">7</w:t>
            </w:r>
          </w:p>
        </w:tc>
        <w:tc>
          <w:tcPr/>
          <w:p>
            <w:pPr>
              <w:pStyle w:val="Compact"/>
              <w:jc w:val="left"/>
            </w:pPr>
            <w:r>
              <w:t xml:space="preserve">Out-of-pocket expenses: Court filing fees (Gerichtsgebühren), service of process costs, certified document copies, and courier charges</w:t>
            </w:r>
          </w:p>
        </w:tc>
        <w:tc>
          <w:tcPr/>
          <w:p>
            <w:pPr>
              <w:pStyle w:val="Compact"/>
              <w:jc w:val="left"/>
            </w:pPr>
            <w:r>
              <w:t xml:space="preserve">Various</w:t>
            </w:r>
          </w:p>
        </w:tc>
        <w:tc>
          <w:tcPr/>
          <w:p>
            <w:pPr>
              <w:pStyle w:val="Compact"/>
              <w:jc w:val="left"/>
            </w:pPr>
            <w:r>
              <w:t xml:space="preserve">—</w:t>
            </w:r>
          </w:p>
        </w:tc>
        <w:tc>
          <w:tcPr/>
          <w:p>
            <w:pPr>
              <w:pStyle w:val="Compact"/>
              <w:jc w:val="left"/>
            </w:pPr>
            <w:r>
              <w:t xml:space="preserve">—</w:t>
            </w:r>
          </w:p>
        </w:tc>
        <w:tc>
          <w:tcPr/>
          <w:p>
            <w:pPr>
              <w:pStyle w:val="Compact"/>
              <w:jc w:val="left"/>
            </w:pPr>
            <w:r>
              <w:t xml:space="preserve">1,247.50</w:t>
            </w:r>
          </w:p>
        </w:tc>
      </w:tr>
    </w:tbl>
    <w:p>
      <w:pPr>
        <w:pStyle w:val="BodyText"/>
      </w:pPr>
      <w:r>
        <w:t xml:space="preserve">Fee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 Professional Legal Fees (Items 1–6)</w:t>
            </w:r>
          </w:p>
        </w:tc>
        <w:tc>
          <w:tcPr/>
          <w:p>
            <w:pPr>
              <w:pStyle w:val="Compact"/>
              <w:jc w:val="left"/>
            </w:pPr>
            <w:r>
              <w:t xml:space="preserve">CHF 11,480.00</w:t>
            </w:r>
          </w:p>
        </w:tc>
      </w:tr>
      <w:tr>
        <w:tc>
          <w:tcPr/>
          <w:p>
            <w:pPr>
              <w:pStyle w:val="Compact"/>
              <w:jc w:val="left"/>
            </w:pPr>
            <w:r>
              <w:t xml:space="preserve">Subtotal – Out-of-Pocket Expenses (Item 7)</w:t>
            </w:r>
          </w:p>
        </w:tc>
        <w:tc>
          <w:tcPr/>
          <w:p>
            <w:pPr>
              <w:pStyle w:val="Compact"/>
              <w:jc w:val="left"/>
            </w:pPr>
            <w:r>
              <w:t xml:space="preserve">CHF 1,247.50</w:t>
            </w:r>
          </w:p>
        </w:tc>
      </w:tr>
      <w:tr>
        <w:tc>
          <w:tcPr/>
          <w:p>
            <w:pPr>
              <w:pStyle w:val="Compact"/>
              <w:jc w:val="left"/>
            </w:pPr>
            <w:r>
              <w:t xml:space="preserve">Subtotal (before VAT)</w:t>
            </w:r>
          </w:p>
        </w:tc>
        <w:tc>
          <w:tcPr/>
          <w:p>
            <w:pPr>
              <w:pStyle w:val="Compact"/>
              <w:jc w:val="left"/>
            </w:pPr>
            <w:r>
              <w:t xml:space="preserve">CHF 12,727.50</w:t>
            </w:r>
          </w:p>
        </w:tc>
      </w:tr>
      <w:tr>
        <w:tc>
          <w:tcPr/>
          <w:p>
            <w:pPr>
              <w:pStyle w:val="Compact"/>
              <w:jc w:val="left"/>
            </w:pPr>
            <w:r>
              <w:t xml:space="preserve">VAT (MwST) at 8.1% (Swiss standard rate, applicable from 1 January 2024)</w:t>
            </w:r>
          </w:p>
        </w:tc>
        <w:tc>
          <w:tcPr/>
          <w:p>
            <w:pPr>
              <w:pStyle w:val="Compact"/>
              <w:jc w:val="left"/>
            </w:pPr>
            <w:r>
              <w:t xml:space="preserve">CHF 1,030.93</w:t>
            </w:r>
          </w:p>
        </w:tc>
      </w:tr>
      <w:tr>
        <w:tc>
          <w:tcPr/>
          <w:p>
            <w:pPr>
              <w:pStyle w:val="Compact"/>
              <w:jc w:val="left"/>
            </w:pPr>
            <w:r>
              <w:t xml:space="preserve">GRAND TOTAL DUE</w:t>
            </w:r>
          </w:p>
        </w:tc>
        <w:tc>
          <w:tcPr/>
          <w:p>
            <w:pPr>
              <w:pStyle w:val="Compact"/>
              <w:jc w:val="left"/>
            </w:pPr>
            <w:r>
              <w:t xml:space="preserve">CHF 13,758.43</w:t>
            </w:r>
          </w:p>
        </w:tc>
      </w:tr>
    </w:tbl>
    <w:p>
      <w:pPr>
        <w:pStyle w:val="BodyText"/>
      </w:pPr>
      <w:r>
        <w:t xml:space="preserve">Payment Instructions</w:t>
      </w:r>
    </w:p>
    <w:p>
      <w:pPr>
        <w:pStyle w:val="BodyText"/>
      </w:pPr>
      <w:r>
        <w:rPr>
          <w:bCs/>
          <w:b/>
        </w:rPr>
        <w:t xml:space="preserve">Bank:</w:t>
      </w:r>
      <w:r>
        <w:t xml:space="preserve"> </w:t>
      </w:r>
      <w:r>
        <w:t xml:space="preserve">UBS AG, Bahnhofstrasse 45, 8001 Zurich, Switzerland</w:t>
      </w:r>
    </w:p>
    <w:p>
      <w:pPr>
        <w:pStyle w:val="BodyText"/>
      </w:pPr>
      <w:r>
        <w:rPr>
          <w:bCs/>
          <w:b/>
        </w:rPr>
        <w:t xml:space="preserve">Account Holder:</w:t>
      </w:r>
      <w:r>
        <w:t xml:space="preserve"> </w:t>
      </w:r>
      <w:r>
        <w:t xml:space="preserve">Brunner, Keller &amp; Wirth Rechtsanwälte AG</w:t>
      </w:r>
    </w:p>
    <w:p>
      <w:pPr>
        <w:pStyle w:val="BodyText"/>
      </w:pPr>
      <w:r>
        <w:rPr>
          <w:bCs/>
          <w:b/>
        </w:rPr>
        <w:t xml:space="preserve">IBAN:</w:t>
      </w:r>
      <w:r>
        <w:t xml:space="preserve"> </w:t>
      </w:r>
      <w:r>
        <w:t xml:space="preserve">CH93 0076 2011 6238 5295 7</w:t>
      </w:r>
    </w:p>
    <w:p>
      <w:pPr>
        <w:pStyle w:val="BodyText"/>
      </w:pPr>
      <w:r>
        <w:rPr>
          <w:bCs/>
          <w:b/>
        </w:rPr>
        <w:t xml:space="preserve">BIC:</w:t>
      </w:r>
      <w:r>
        <w:t xml:space="preserve"> </w:t>
      </w:r>
      <w:r>
        <w:t xml:space="preserve">UBSWCHZH80A</w:t>
      </w:r>
    </w:p>
    <w:p>
      <w:pPr>
        <w:pStyle w:val="BodyText"/>
      </w:pPr>
      <w:r>
        <w:rPr>
          <w:bCs/>
          <w:b/>
        </w:rPr>
        <w:t xml:space="preserve">Reference (Verwendungszweck):</w:t>
      </w:r>
      <w:r>
        <w:t xml:space="preserve"> </w:t>
      </w:r>
      <w:r>
        <w:t xml:space="preserve">Invoice BKW-2025-00487 / Case 2025-CV-0312</w:t>
      </w:r>
    </w:p>
    <w:p>
      <w:pPr>
        <w:pStyle w:val="BodyText"/>
      </w:pPr>
      <w:r>
        <w:rPr>
          <w:bCs/>
          <w:b/>
        </w:rPr>
        <w:t xml:space="preserve">Payment Method:</w:t>
      </w:r>
      <w:r>
        <w:t xml:space="preserve"> </w:t>
      </w:r>
      <w:r>
        <w:t xml:space="preserve">Bank transfer (SEPA / Swiss domestic transfer)</w:t>
      </w:r>
    </w:p>
    <w:p>
      <w:pPr>
        <w:pStyle w:val="BodyText"/>
      </w:pPr>
      <w:r>
        <w:rPr>
          <w:bCs/>
          <w:b/>
        </w:rPr>
        <w:t xml:space="preserve">Payment Due:</w:t>
      </w:r>
      <w:r>
        <w:t xml:space="preserve"> </w:t>
      </w:r>
      <w:r>
        <w:t xml:space="preserve">Within 30 days of the date of this Invoice, i.e., by 15 July 2025</w:t>
      </w:r>
    </w:p>
    <w:p>
      <w:pPr>
        <w:pStyle w:val="BodyText"/>
      </w:pPr>
      <w:r>
        <w:t xml:space="preserve">Terms and Conditions</w:t>
      </w:r>
    </w:p>
    <w:p>
      <w:pPr>
        <w:pStyle w:val="BodyText"/>
      </w:pPr>
      <w:r>
        <w:t xml:space="preserve">This Invoice is governed by the terms of the engagement agreement between the Lawyer (Brunner, Keller &amp; Wirth Rechtsanwälte AG, Switzerland Zurich) and the client, as well as the Swiss Code of Obligations (OR, Art. 394–404) and the Federal Act on the Free Movement of Lawyers (FFLG). In the event of non-payment by the due date, statutory default interest of 5% per annum shall apply in accordance with Article 104 of the Swiss Code of Obligations. The client reserves the right to inspect the detailed time records and expense receipts supporting this Invoice upon written request. All communications regarding this Invoice shall be directed to the billing department of our law firm in Switzerland Zurich. This Invoice does not constitute a final settlement of all fees; additional charges may be invoiced should further legal proceedings or services be required. The Lawyer shall maintain professional confidentiality in accordance with Article 321 of the Swiss Criminal Code (StGB) and the professional secrecy obligations under the FFLG.</w:t>
      </w:r>
    </w:p>
    <w:p>
      <w:pPr>
        <w:pStyle w:val="BodyText"/>
      </w:pPr>
      <w:r>
        <w:t xml:space="preserve">Issued By</w:t>
      </w:r>
    </w:p>
    <w:p>
      <w:pPr>
        <w:pStyle w:val="BodyText"/>
      </w:pPr>
      <w:r>
        <w:rPr>
          <w:bCs/>
          <w:b/>
        </w:rPr>
        <w:t xml:space="preserve">Attorney-in-Charge:</w:t>
      </w:r>
      <w:r>
        <w:t xml:space="preserve"> </w:t>
      </w:r>
      <w:r>
        <w:t xml:space="preserve">Dr. iur. Anna Keller, Partner</w:t>
      </w:r>
      <w:r>
        <w:br/>
      </w:r>
      <w:r>
        <w:rPr>
          <w:bCs/>
          <w:b/>
        </w:rPr>
        <w:t xml:space="preserve">Prepared by:</w:t>
      </w:r>
      <w:r>
        <w:t xml:space="preserve"> </w:t>
      </w:r>
      <w:r>
        <w:t xml:space="preserve">Thomas Wirth, Legal Assistant</w:t>
      </w:r>
      <w:r>
        <w:br/>
      </w:r>
      <w:r>
        <w:rPr>
          <w:bCs/>
          <w:b/>
        </w:rPr>
        <w:t xml:space="preserve">Law Firm:</w:t>
      </w:r>
      <w:r>
        <w:t xml:space="preserve"> </w:t>
      </w:r>
      <w:r>
        <w:t xml:space="preserve">Brunner, Keller &amp; Wirth Rechtsanwälte AG, Bahnhofstrasse 142, 8001 Zurich, Switzerland</w:t>
      </w:r>
      <w:r>
        <w:br/>
      </w:r>
      <w:r>
        <w:rPr>
          <w:bCs/>
          <w:b/>
        </w:rPr>
        <w:t xml:space="preserve">Registration:</w:t>
      </w:r>
      <w:r>
        <w:t xml:space="preserve"> </w:t>
      </w:r>
      <w:r>
        <w:t xml:space="preserve">Zurich Bar Association (Zürcher Anwaltskammer), Member No. ZA-2019-0442</w:t>
      </w:r>
    </w:p>
    <w:p>
      <w:pPr>
        <w:pStyle w:val="BodyText"/>
      </w:pPr>
      <w:r>
        <w:t xml:space="preserve">Note: This Invoice is issued in accordance with the Swiss Federal Act on Value Added Tax (MWSTG) and the applicable billing regulations for Lawyers practising in Switzerland Zurich. A duplicate of this Invoice is available upon request. Please retain this document for your tax and accounting records. If you have any questions regarding the line items or the calculation of fees on this Invoice, please contact our billing office at +41 44 210 55 88 or billing@bkw-lawyers.ch within 14 days of receipt.</w:t>
      </w:r>
    </w:p>
    <w:p>
      <w:pPr>
        <w:pStyle w:val="BodyText"/>
      </w:pPr>
      <w:r>
        <w:t xml:space="preserve">Brunner, Keller &amp; Wirth Rechtsanwälte AG  |  Bahnhofstrasse 142, 8001 Zurich, Switzerland</w:t>
      </w:r>
      <w:r>
        <w:br/>
      </w:r>
      <w:r>
        <w:t xml:space="preserve">UID: CHE-112.345.678  |  MWST-Nr.: CHE-112.345.678 MWST  |  Registered in the Zurich Commercial Register (ZHR)</w:t>
      </w:r>
      <w:r>
        <w:br/>
      </w:r>
      <w:r>
        <w:t xml:space="preserve">This Invoice was generated electronically and is valid without a physical signature in accordance with Art. 16 para. 1 of the Swiss Code of Obligations.</w:t>
      </w:r>
      <w:r>
        <w:br/>
      </w:r>
      <w:r>
        <w:br/>
      </w:r>
      <w:r>
        <w:t xml:space="preserve">© 2025 Brunner, Keller &amp; Wirth Rechtsanwälte AG.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Invoice - Zurich, Switzerland</dc:title>
  <dc:creator/>
  <dc:language>en</dc:language>
  <cp:keywords/>
  <dcterms:created xsi:type="dcterms:W3CDTF">2026-10-10T08:48:15Z</dcterms:created>
  <dcterms:modified xsi:type="dcterms:W3CDTF">2026-10-10T08:48:15Z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