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Services</w:t>
      </w:r>
      <w:r>
        <w:t xml:space="preserve"> </w:t>
      </w:r>
      <w:r>
        <w:t xml:space="preserve">Invoice</w:t>
      </w:r>
      <w:r>
        <w:t xml:space="preserve"> </w:t>
      </w:r>
      <w:r>
        <w:t xml:space="preserve">-</w:t>
      </w:r>
      <w:r>
        <w:t xml:space="preserve"> </w:t>
      </w:r>
      <w:r>
        <w:t xml:space="preserve">Istanbul,</w:t>
      </w:r>
      <w:r>
        <w:t xml:space="preserve"> </w:t>
      </w:r>
      <w:r>
        <w:t xml:space="preserve">Turkey</w:t>
      </w:r>
    </w:p>
    <w:bookmarkStart w:id="20" w:name="invoice"/>
    <w:p>
      <w:pPr>
        <w:pStyle w:val="Heading1"/>
      </w:pPr>
      <w:r>
        <w:t xml:space="preserve">INVOICE</w:t>
      </w:r>
    </w:p>
    <w:p>
      <w:pPr>
        <w:pStyle w:val="FirstParagraph"/>
      </w:pPr>
      <w:r>
        <w:t xml:space="preserve">Legal Services — Attorney at Law — Istanbul, Turkey</w:t>
      </w:r>
    </w:p>
    <w:p>
      <w:pPr>
        <w:pStyle w:val="BodyText"/>
      </w:pPr>
      <w:r>
        <w:t xml:space="preserve">OFFICIAL LEGAL DOCUMENT</w:t>
      </w:r>
    </w:p>
    <w:bookmarkEnd w:id="20"/>
    <w:p>
      <w:pPr>
        <w:pStyle w:val="BodyText"/>
      </w:pPr>
      <w:r>
        <w:rPr>
          <w:bCs/>
          <w:b/>
        </w:rPr>
        <w:t xml:space="preserve">AV. MERT KAYA &amp; ASSOCIATES</w:t>
      </w:r>
      <w:r>
        <w:br/>
      </w:r>
      <w:r>
        <w:t xml:space="preserve">Legal Practice — Bar Association of Istanbul (İstanbul Barosu)</w:t>
      </w:r>
      <w:r>
        <w:br/>
      </w:r>
      <w:r>
        <w:t xml:space="preserve">Address: Nişantaşı Mahallesi, Teşvikiye Cad. No: 142/3</w:t>
      </w:r>
      <w:r>
        <w:br/>
      </w:r>
      <w:r>
        <w:t xml:space="preserve">Şişli / Istanbul, Turkey — 34365</w:t>
      </w:r>
      <w:r>
        <w:br/>
      </w:r>
      <w:r>
        <w:t xml:space="preserve">Tel: +90 (212) 433 87 65</w:t>
      </w:r>
      <w:r>
        <w:br/>
      </w:r>
      <w:r>
        <w:t xml:space="preserve">Email: info@avmertkaya.com.tr</w:t>
      </w:r>
      <w:r>
        <w:br/>
      </w:r>
      <w:r>
        <w:t xml:space="preserve">Tax ID (Vergi No): 1234567890</w:t>
      </w:r>
      <w:r>
        <w:br/>
      </w:r>
      <w:r>
        <w:t xml:space="preserve">Bar Registration No: İST-2019-4521</w:t>
      </w:r>
    </w:p>
    <w:p>
      <w:pPr>
        <w:pStyle w:val="BodyText"/>
      </w:pPr>
      <w:r>
        <w:rPr>
          <w:bCs/>
          <w:b/>
        </w:rPr>
        <w:t xml:space="preserve">INVOICE NO:</w:t>
      </w:r>
      <w:r>
        <w:t xml:space="preserve"> </w:t>
      </w:r>
      <w:r>
        <w:t xml:space="preserve">INV-2025-00847</w:t>
      </w:r>
      <w:r>
        <w:br/>
      </w:r>
      <w:r>
        <w:rPr>
          <w:bCs/>
          <w:b/>
        </w:rPr>
        <w:t xml:space="preserve">DATE ISSUED:</w:t>
      </w:r>
      <w:r>
        <w:t xml:space="preserve"> </w:t>
      </w:r>
      <w:r>
        <w:t xml:space="preserve">14 June 2025</w:t>
      </w:r>
      <w:r>
        <w:br/>
      </w:r>
      <w:r>
        <w:rPr>
          <w:bCs/>
          <w:b/>
        </w:rPr>
        <w:t xml:space="preserve">DUE DATE:</w:t>
      </w:r>
      <w:r>
        <w:t xml:space="preserve"> </w:t>
      </w:r>
      <w:r>
        <w:t xml:space="preserve">28 June 2025</w:t>
      </w:r>
      <w:r>
        <w:br/>
      </w:r>
      <w:r>
        <w:rPr>
          <w:bCs/>
          <w:b/>
        </w:rPr>
        <w:t xml:space="preserve">CURRENCY:</w:t>
      </w:r>
      <w:r>
        <w:t xml:space="preserve"> </w:t>
      </w:r>
      <w:r>
        <w:t xml:space="preserve">Turkish Lira (TRY / TL)</w:t>
      </w:r>
      <w:r>
        <w:br/>
      </w:r>
      <w:r>
        <w:rPr>
          <w:bCs/>
          <w:b/>
        </w:rPr>
        <w:t xml:space="preserve">STATUS:</w:t>
      </w:r>
      <w:r>
        <w:t xml:space="preserve"> </w:t>
      </w:r>
      <w:r>
        <w:t xml:space="preserve">PENDING PAYMENT</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Bill To:</w:t>
            </w:r>
          </w:p>
        </w:tc>
        <w:tc>
          <w:tcPr/>
          <w:p>
            <w:pPr>
              <w:pStyle w:val="Compact"/>
              <w:jc w:val="left"/>
            </w:pPr>
            <w:r>
              <w:t xml:space="preserve">Mr. James A. Whitfield</w:t>
            </w:r>
          </w:p>
        </w:tc>
      </w:tr>
      <w:tr>
        <w:tc>
          <w:tcPr/>
          <w:p>
            <w:pPr>
              <w:pStyle w:val="Compact"/>
              <w:jc w:val="left"/>
            </w:pPr>
            <w:r>
              <w:t xml:space="preserve">Company:</w:t>
            </w:r>
          </w:p>
        </w:tc>
        <w:tc>
          <w:tcPr/>
          <w:p>
            <w:pPr>
              <w:pStyle w:val="Compact"/>
              <w:jc w:val="left"/>
            </w:pPr>
            <w:r>
              <w:t xml:space="preserve">Whitfield International Trading LLC</w:t>
            </w:r>
          </w:p>
        </w:tc>
      </w:tr>
      <w:tr>
        <w:tc>
          <w:tcPr/>
          <w:p>
            <w:pPr>
              <w:pStyle w:val="Compact"/>
              <w:jc w:val="left"/>
            </w:pPr>
            <w:r>
              <w:t xml:space="preserve">Address:</w:t>
            </w:r>
          </w:p>
        </w:tc>
        <w:tc>
          <w:tcPr/>
          <w:p>
            <w:pPr>
              <w:pStyle w:val="Compact"/>
              <w:jc w:val="left"/>
            </w:pPr>
            <w:r>
              <w:t xml:space="preserve">Karaköy, Beyoğlu, Istanbul, Turkey</w:t>
            </w:r>
          </w:p>
        </w:tc>
      </w:tr>
      <w:tr>
        <w:tc>
          <w:tcPr/>
          <w:p>
            <w:pPr>
              <w:pStyle w:val="Compact"/>
              <w:jc w:val="left"/>
            </w:pPr>
            <w:r>
              <w:t xml:space="preserve">Tax ID:</w:t>
            </w:r>
          </w:p>
        </w:tc>
        <w:tc>
          <w:tcPr/>
          <w:p>
            <w:pPr>
              <w:pStyle w:val="Compact"/>
              <w:jc w:val="left"/>
            </w:pPr>
            <w:r>
              <w:t xml:space="preserve">9876543210</w:t>
            </w:r>
          </w:p>
        </w:tc>
      </w:tr>
      <w:tr>
        <w:tc>
          <w:tcPr/>
          <w:p>
            <w:pPr>
              <w:pStyle w:val="Compact"/>
              <w:jc w:val="left"/>
            </w:pPr>
            <w:r>
              <w:t xml:space="preserve">Contact:</w:t>
            </w:r>
          </w:p>
        </w:tc>
        <w:tc>
          <w:tcPr/>
          <w:p>
            <w:pPr>
              <w:pStyle w:val="Compact"/>
              <w:jc w:val="left"/>
            </w:pPr>
            <w:r>
              <w:t xml:space="preserve">+90 (532) 771 20 44 | j.whitfield@wit-llc.com</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Referred By:</w:t>
            </w:r>
          </w:p>
        </w:tc>
        <w:tc>
          <w:tcPr/>
          <w:p>
            <w:pPr>
              <w:pStyle w:val="Compact"/>
              <w:jc w:val="left"/>
            </w:pPr>
            <w:r>
              <w:t xml:space="preserve">Referral — Istanbul Commercial Court</w:t>
            </w:r>
          </w:p>
        </w:tc>
      </w:tr>
      <w:tr>
        <w:tc>
          <w:tcPr/>
          <w:p>
            <w:pPr>
              <w:pStyle w:val="Compact"/>
              <w:jc w:val="left"/>
            </w:pPr>
            <w:r>
              <w:t xml:space="preserve">Case File No:</w:t>
            </w:r>
          </w:p>
        </w:tc>
        <w:tc>
          <w:tcPr/>
          <w:p>
            <w:pPr>
              <w:pStyle w:val="Compact"/>
              <w:jc w:val="left"/>
            </w:pPr>
            <w:r>
              <w:t xml:space="preserve">2025/3412 (Commercial Dispute)</w:t>
            </w:r>
          </w:p>
        </w:tc>
      </w:tr>
      <w:tr>
        <w:tc>
          <w:tcPr/>
          <w:p>
            <w:pPr>
              <w:pStyle w:val="Compact"/>
              <w:jc w:val="left"/>
            </w:pPr>
            <w:r>
              <w:t xml:space="preserve">Lead Lawyer:</w:t>
            </w:r>
          </w:p>
        </w:tc>
        <w:tc>
          <w:tcPr/>
          <w:p>
            <w:pPr>
              <w:pStyle w:val="Compact"/>
              <w:jc w:val="left"/>
            </w:pPr>
            <w:r>
              <w:t xml:space="preserve">Av. Mert Kaya, Esq.</w:t>
            </w:r>
          </w:p>
        </w:tc>
      </w:tr>
      <w:tr>
        <w:tc>
          <w:tcPr/>
          <w:p>
            <w:pPr>
              <w:pStyle w:val="Compact"/>
              <w:jc w:val="left"/>
            </w:pPr>
            <w:r>
              <w:t xml:space="preserve">Assisting Counsel:</w:t>
            </w:r>
          </w:p>
        </w:tc>
        <w:tc>
          <w:tcPr/>
          <w:p>
            <w:pPr>
              <w:pStyle w:val="Compact"/>
              <w:jc w:val="left"/>
            </w:pPr>
            <w:r>
              <w:t xml:space="preserve">Av. Elif Demir, Esq.</w:t>
            </w:r>
          </w:p>
        </w:tc>
      </w:tr>
    </w:tbl>
    <w:p>
      <w:pPr>
        <w:pStyle w:val="BodyText"/>
      </w:pPr>
      <w:r>
        <w:t xml:space="preserve">DESCRIPTION OF LEGAL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Initial consultation and case assessment regarding commercial contract dispute under Turkish Code of Obligations (Türk Borçlar Kanunu). Review of all relevant documentation, correspondence, and contractual clauses. Preparation of preliminary legal opinion for the client.</w:t>
            </w:r>
          </w:p>
        </w:tc>
        <w:tc>
          <w:tcPr/>
          <w:p>
            <w:pPr>
              <w:pStyle w:val="Compact"/>
              <w:jc w:val="left"/>
            </w:pPr>
            <w:r>
              <w:t xml:space="preserve">02 Jun 2025</w:t>
            </w:r>
          </w:p>
        </w:tc>
        <w:tc>
          <w:tcPr/>
          <w:p>
            <w:pPr>
              <w:pStyle w:val="Compact"/>
              <w:jc w:val="left"/>
            </w:pPr>
            <w:r>
              <w:t xml:space="preserve">3.5</w:t>
            </w:r>
          </w:p>
        </w:tc>
        <w:tc>
          <w:tcPr/>
          <w:p>
            <w:pPr>
              <w:pStyle w:val="Compact"/>
              <w:jc w:val="left"/>
            </w:pPr>
            <w:r>
              <w:t xml:space="preserve">2,500.00</w:t>
            </w:r>
          </w:p>
        </w:tc>
        <w:tc>
          <w:tcPr/>
          <w:p>
            <w:pPr>
              <w:pStyle w:val="Compact"/>
              <w:jc w:val="left"/>
            </w:pPr>
            <w:r>
              <w:t xml:space="preserve">8,750.00</w:t>
            </w:r>
          </w:p>
        </w:tc>
      </w:tr>
      <w:tr>
        <w:tc>
          <w:tcPr/>
          <w:p>
            <w:pPr>
              <w:pStyle w:val="Compact"/>
              <w:jc w:val="left"/>
            </w:pPr>
            <w:r>
              <w:t xml:space="preserve">2</w:t>
            </w:r>
          </w:p>
        </w:tc>
        <w:tc>
          <w:tcPr/>
          <w:p>
            <w:pPr>
              <w:pStyle w:val="Compact"/>
              <w:jc w:val="left"/>
            </w:pPr>
            <w:r>
              <w:t xml:space="preserve">Drafting and filing of a formal complaint (dava dilekçesi) with the Istanbul 12th Commercial Court of First Instance. Preparation of supporting evidence package, including notarized copies of contracts, bank transaction records, and witness statements in accordance with Turkish Code of Civil Procedure (HMK).</w:t>
            </w:r>
          </w:p>
        </w:tc>
        <w:tc>
          <w:tcPr/>
          <w:p>
            <w:pPr>
              <w:pStyle w:val="Compact"/>
              <w:jc w:val="left"/>
            </w:pPr>
            <w:r>
              <w:t xml:space="preserve">05 Jun 2025</w:t>
            </w:r>
          </w:p>
        </w:tc>
        <w:tc>
          <w:tcPr/>
          <w:p>
            <w:pPr>
              <w:pStyle w:val="Compact"/>
              <w:jc w:val="left"/>
            </w:pPr>
            <w:r>
              <w:t xml:space="preserve">6.0</w:t>
            </w:r>
          </w:p>
        </w:tc>
        <w:tc>
          <w:tcPr/>
          <w:p>
            <w:pPr>
              <w:pStyle w:val="Compact"/>
              <w:jc w:val="left"/>
            </w:pPr>
            <w:r>
              <w:t xml:space="preserve">2,500.00</w:t>
            </w:r>
          </w:p>
        </w:tc>
        <w:tc>
          <w:tcPr/>
          <w:p>
            <w:pPr>
              <w:pStyle w:val="Compact"/>
              <w:jc w:val="left"/>
            </w:pPr>
            <w:r>
              <w:t xml:space="preserve">15,000.00</w:t>
            </w:r>
          </w:p>
        </w:tc>
      </w:tr>
      <w:tr>
        <w:tc>
          <w:tcPr/>
          <w:p>
            <w:pPr>
              <w:pStyle w:val="Compact"/>
              <w:jc w:val="left"/>
            </w:pPr>
            <w:r>
              <w:t xml:space="preserve">3</w:t>
            </w:r>
          </w:p>
        </w:tc>
        <w:tc>
          <w:tcPr/>
          <w:p>
            <w:pPr>
              <w:pStyle w:val="Compact"/>
              <w:jc w:val="left"/>
            </w:pPr>
            <w:r>
              <w:t xml:space="preserve">Representation of the client at the first hearing before the Istanbul 12th Commercial Court. Oral argument, cross-examination of opposing counsel's witnesses, and submission of supplementary legal memoranda. Post-hearing debrief and strategy session with the client.</w:t>
            </w:r>
          </w:p>
        </w:tc>
        <w:tc>
          <w:tcPr/>
          <w:p>
            <w:pPr>
              <w:pStyle w:val="Compact"/>
              <w:jc w:val="left"/>
            </w:pPr>
            <w:r>
              <w:t xml:space="preserve">09 Jun 2025</w:t>
            </w:r>
          </w:p>
        </w:tc>
        <w:tc>
          <w:tcPr/>
          <w:p>
            <w:pPr>
              <w:pStyle w:val="Compact"/>
              <w:jc w:val="left"/>
            </w:pPr>
            <w:r>
              <w:t xml:space="preserve">4.5</w:t>
            </w:r>
          </w:p>
        </w:tc>
        <w:tc>
          <w:tcPr/>
          <w:p>
            <w:pPr>
              <w:pStyle w:val="Compact"/>
              <w:jc w:val="left"/>
            </w:pPr>
            <w:r>
              <w:t xml:space="preserve">3,000.00</w:t>
            </w:r>
          </w:p>
        </w:tc>
        <w:tc>
          <w:tcPr/>
          <w:p>
            <w:pPr>
              <w:pStyle w:val="Compact"/>
              <w:jc w:val="left"/>
            </w:pPr>
            <w:r>
              <w:t xml:space="preserve">13,500.00</w:t>
            </w:r>
          </w:p>
        </w:tc>
      </w:tr>
      <w:tr>
        <w:tc>
          <w:tcPr/>
          <w:p>
            <w:pPr>
              <w:pStyle w:val="Compact"/>
              <w:jc w:val="left"/>
            </w:pPr>
            <w:r>
              <w:t xml:space="preserve">4</w:t>
            </w:r>
          </w:p>
        </w:tc>
        <w:tc>
          <w:tcPr/>
          <w:p>
            <w:pPr>
              <w:pStyle w:val="Compact"/>
              <w:jc w:val="left"/>
            </w:pPr>
            <w:r>
              <w:t xml:space="preserve">Preparation and submission of a written legal brief (yazılı savunma) in response to the opposing party's counter-arguments. Research into relevant precedents from the Court of Cassation (Yargıtay) and the Istanbul Regional Court of Appeal (Bölge Adliye Mahkemesi).</w:t>
            </w:r>
          </w:p>
        </w:tc>
        <w:tc>
          <w:tcPr/>
          <w:p>
            <w:pPr>
              <w:pStyle w:val="Compact"/>
              <w:jc w:val="left"/>
            </w:pPr>
            <w:r>
              <w:t xml:space="preserve">10 Jun 2025</w:t>
            </w:r>
          </w:p>
        </w:tc>
        <w:tc>
          <w:tcPr/>
          <w:p>
            <w:pPr>
              <w:pStyle w:val="Compact"/>
              <w:jc w:val="left"/>
            </w:pPr>
            <w:r>
              <w:t xml:space="preserve">5.0</w:t>
            </w:r>
          </w:p>
        </w:tc>
        <w:tc>
          <w:tcPr/>
          <w:p>
            <w:pPr>
              <w:pStyle w:val="Compact"/>
              <w:jc w:val="left"/>
            </w:pPr>
            <w:r>
              <w:t xml:space="preserve">2,500.00</w:t>
            </w:r>
          </w:p>
        </w:tc>
        <w:tc>
          <w:tcPr/>
          <w:p>
            <w:pPr>
              <w:pStyle w:val="Compact"/>
              <w:jc w:val="left"/>
            </w:pPr>
            <w:r>
              <w:t xml:space="preserve">12,500.00</w:t>
            </w:r>
          </w:p>
        </w:tc>
      </w:tr>
      <w:tr>
        <w:tc>
          <w:tcPr/>
          <w:p>
            <w:pPr>
              <w:pStyle w:val="Compact"/>
              <w:jc w:val="left"/>
            </w:pPr>
            <w:r>
              <w:t xml:space="preserve">5</w:t>
            </w:r>
          </w:p>
        </w:tc>
        <w:tc>
          <w:tcPr/>
          <w:p>
            <w:pPr>
              <w:pStyle w:val="Compact"/>
              <w:jc w:val="left"/>
            </w:pPr>
            <w:r>
              <w:t xml:space="preserve">Negotiation and drafting of a proposed settlement agreement (sulh anlaşması) in coordination with opposing counsel. Multiple revision cycles incorporating client feedback. Legal review for compliance with Turkish commercial law and tax implications under the Turkish Revenue Administration (Gelir İdaresi Başkanlığı) guidelines.</w:t>
            </w:r>
          </w:p>
        </w:tc>
        <w:tc>
          <w:tcPr/>
          <w:p>
            <w:pPr>
              <w:pStyle w:val="Compact"/>
              <w:jc w:val="left"/>
            </w:pPr>
            <w:r>
              <w:t xml:space="preserve">11–13 Jun 2025</w:t>
            </w:r>
          </w:p>
        </w:tc>
        <w:tc>
          <w:tcPr/>
          <w:p>
            <w:pPr>
              <w:pStyle w:val="Compact"/>
              <w:jc w:val="left"/>
            </w:pPr>
            <w:r>
              <w:t xml:space="preserve">7.0</w:t>
            </w:r>
          </w:p>
        </w:tc>
        <w:tc>
          <w:tcPr/>
          <w:p>
            <w:pPr>
              <w:pStyle w:val="Compact"/>
              <w:jc w:val="left"/>
            </w:pPr>
            <w:r>
              <w:t xml:space="preserve">2,500.00</w:t>
            </w:r>
          </w:p>
        </w:tc>
        <w:tc>
          <w:tcPr/>
          <w:p>
            <w:pPr>
              <w:pStyle w:val="Compact"/>
              <w:jc w:val="left"/>
            </w:pPr>
            <w:r>
              <w:t xml:space="preserve">17,500.00</w:t>
            </w:r>
          </w:p>
        </w:tc>
      </w:tr>
      <w:tr>
        <w:tc>
          <w:tcPr/>
          <w:p>
            <w:pPr>
              <w:pStyle w:val="Compact"/>
              <w:jc w:val="left"/>
            </w:pPr>
            <w:r>
              <w:t xml:space="preserve">6</w:t>
            </w:r>
          </w:p>
        </w:tc>
        <w:tc>
          <w:tcPr/>
          <w:p>
            <w:pPr>
              <w:pStyle w:val="Compact"/>
              <w:jc w:val="left"/>
            </w:pPr>
            <w:r>
              <w:t xml:space="preserve">Notarization services and official document authentication through the Istanbul Notary Chamber (İstanbul Noterler Odası). Preparation of power of attorney (vekaletname) for the client's authorized representative. Filing of court fees and stamp duty (harç) on behalf of the client.</w:t>
            </w:r>
          </w:p>
        </w:tc>
        <w:tc>
          <w:tcPr/>
          <w:p>
            <w:pPr>
              <w:pStyle w:val="Compact"/>
              <w:jc w:val="left"/>
            </w:pPr>
            <w:r>
              <w:t xml:space="preserve">13 Jun 2025</w:t>
            </w:r>
          </w:p>
        </w:tc>
        <w:tc>
          <w:tcPr/>
          <w:p>
            <w:pPr>
              <w:pStyle w:val="Compact"/>
              <w:jc w:val="left"/>
            </w:pPr>
            <w:r>
              <w:t xml:space="preserve">2.0</w:t>
            </w:r>
          </w:p>
        </w:tc>
        <w:tc>
          <w:tcPr/>
          <w:p>
            <w:pPr>
              <w:pStyle w:val="Compact"/>
              <w:jc w:val="left"/>
            </w:pPr>
            <w:r>
              <w:t xml:space="preserve">2,000.00</w:t>
            </w:r>
          </w:p>
        </w:tc>
        <w:tc>
          <w:tcPr/>
          <w:p>
            <w:pPr>
              <w:pStyle w:val="Compact"/>
              <w:jc w:val="left"/>
            </w:pPr>
            <w:r>
              <w:t xml:space="preserve">4,000.00</w:t>
            </w:r>
          </w:p>
        </w:tc>
      </w:tr>
      <w:tr>
        <w:tc>
          <w:tcPr/>
          <w:p>
            <w:pPr>
              <w:pStyle w:val="Compact"/>
              <w:jc w:val="left"/>
            </w:pPr>
            <w:r>
              <w:t xml:space="preserve">7</w:t>
            </w:r>
          </w:p>
        </w:tc>
        <w:tc>
          <w:tcPr/>
          <w:p>
            <w:pPr>
              <w:pStyle w:val="Compact"/>
              <w:jc w:val="left"/>
            </w:pPr>
            <w:r>
              <w:t xml:space="preserve">Administrative and support costs: photocopying, certified mail (iadeli taahhütlü posta), courier services for court filings, translation of supporting documents from English to Turkish by a sworn translator (yeminli tercüman), and digital filing fees through the e-Devlet and UYAP systems.</w:t>
            </w:r>
          </w:p>
        </w:tc>
        <w:tc>
          <w:tcPr/>
          <w:p>
            <w:pPr>
              <w:pStyle w:val="Compact"/>
              <w:jc w:val="left"/>
            </w:pPr>
            <w:r>
              <w:t xml:space="preserve">02–13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3,250.00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right"/>
            </w:pPr>
            <w:r>
              <w:t xml:space="preserve">68,750.00 TRY</w:t>
            </w:r>
          </w:p>
        </w:tc>
      </w:tr>
      <w:tr>
        <w:tc>
          <w:tcPr/>
          <w:p>
            <w:pPr>
              <w:pStyle w:val="Compact"/>
              <w:jc w:val="left"/>
            </w:pPr>
            <w:r>
              <w:t xml:space="preserve">Administrative &amp; Support Costs</w:t>
            </w:r>
          </w:p>
        </w:tc>
        <w:tc>
          <w:tcPr/>
          <w:p>
            <w:pPr>
              <w:pStyle w:val="Compact"/>
              <w:jc w:val="right"/>
            </w:pPr>
            <w:r>
              <w:t xml:space="preserve">3,250.00 TRY</w:t>
            </w:r>
          </w:p>
        </w:tc>
      </w:tr>
      <w:tr>
        <w:tc>
          <w:tcPr/>
          <w:p>
            <w:pPr>
              <w:pStyle w:val="Compact"/>
              <w:jc w:val="left"/>
            </w:pPr>
            <w:r>
              <w:t xml:space="preserve">Subtotal</w:t>
            </w:r>
          </w:p>
        </w:tc>
        <w:tc>
          <w:tcPr/>
          <w:p>
            <w:pPr>
              <w:pStyle w:val="Compact"/>
              <w:jc w:val="right"/>
            </w:pPr>
            <w:r>
              <w:t xml:space="preserve">72,000.00 TRY</w:t>
            </w:r>
          </w:p>
        </w:tc>
      </w:tr>
      <w:tr>
        <w:tc>
          <w:tcPr/>
          <w:p>
            <w:pPr>
              <w:pStyle w:val="Compact"/>
              <w:jc w:val="left"/>
            </w:pPr>
            <w:r>
              <w:t xml:space="preserve">VAT (KDV) — 20%</w:t>
            </w:r>
          </w:p>
        </w:tc>
        <w:tc>
          <w:tcPr/>
          <w:p>
            <w:pPr>
              <w:pStyle w:val="Compact"/>
              <w:jc w:val="right"/>
            </w:pPr>
            <w:r>
              <w:t xml:space="preserve">14,400.00 TRY</w:t>
            </w:r>
          </w:p>
        </w:tc>
      </w:tr>
      <w:tr>
        <w:tc>
          <w:tcPr/>
          <w:p>
            <w:pPr>
              <w:pStyle w:val="Compact"/>
              <w:jc w:val="left"/>
            </w:pPr>
            <w:r>
              <w:t xml:space="preserve">TOTAL AMOUNT DUE</w:t>
            </w:r>
          </w:p>
        </w:tc>
        <w:tc>
          <w:tcPr/>
          <w:p>
            <w:pPr>
              <w:pStyle w:val="Compact"/>
              <w:jc w:val="right"/>
            </w:pPr>
            <w:r>
              <w:t xml:space="preserve">86,400.00 TRY</w:t>
            </w:r>
          </w:p>
        </w:tc>
      </w:tr>
    </w:tbl>
    <w:bookmarkStart w:id="21" w:name="payment-terms-conditions"/>
    <w:p>
      <w:pPr>
        <w:pStyle w:val="Heading3"/>
      </w:pPr>
      <w:r>
        <w:t xml:space="preserve">Payment Terms &amp; Conditions</w:t>
      </w:r>
    </w:p>
    <w:p>
      <w:pPr>
        <w:pStyle w:val="FirstParagraph"/>
      </w:pPr>
      <w:r>
        <w:t xml:space="preserve">This Invoice must be settled in full within</w:t>
      </w:r>
      <w:r>
        <w:t xml:space="preserve"> </w:t>
      </w:r>
      <w:r>
        <w:rPr>
          <w:bCs/>
          <w:b/>
        </w:rPr>
        <w:t xml:space="preserve">fourteen (14) calendar days</w:t>
      </w:r>
      <w:r>
        <w:t xml:space="preserve"> </w:t>
      </w:r>
      <w:r>
        <w:t xml:space="preserve">from the date of issue, no later than</w:t>
      </w:r>
      <w:r>
        <w:t xml:space="preserve"> </w:t>
      </w:r>
      <w:r>
        <w:rPr>
          <w:bCs/>
          <w:b/>
        </w:rPr>
        <w:t xml:space="preserve">28 June 2025</w:t>
      </w:r>
      <w:r>
        <w:t xml:space="preserve">. Payment shall be made via bank transfer to the following account:</w:t>
      </w:r>
    </w:p>
    <w:p>
      <w:pPr>
        <w:pStyle w:val="BodyText"/>
      </w:pPr>
      <w:r>
        <w:rPr>
          <w:bCs/>
          <w:b/>
        </w:rPr>
        <w:t xml:space="preserve">Bank:</w:t>
      </w:r>
      <w:r>
        <w:t xml:space="preserve"> </w:t>
      </w:r>
      <w:r>
        <w:t xml:space="preserve">İş Bankası A.Ş.</w:t>
      </w:r>
      <w:r>
        <w:br/>
      </w:r>
      <w:r>
        <w:rPr>
          <w:bCs/>
          <w:b/>
        </w:rPr>
        <w:t xml:space="preserve">Account Name:</w:t>
      </w:r>
      <w:r>
        <w:t xml:space="preserve"> </w:t>
      </w:r>
      <w:r>
        <w:t xml:space="preserve">Av. Mert Kaya &amp; Associates</w:t>
      </w:r>
      <w:r>
        <w:br/>
      </w:r>
      <w:r>
        <w:rPr>
          <w:bCs/>
          <w:b/>
        </w:rPr>
        <w:t xml:space="preserve">IBAN:</w:t>
      </w:r>
      <w:r>
        <w:t xml:space="preserve"> </w:t>
      </w:r>
      <w:r>
        <w:t xml:space="preserve">TR12 0006 4000 0011 2345 6789 01</w:t>
      </w:r>
      <w:r>
        <w:br/>
      </w:r>
      <w:r>
        <w:rPr>
          <w:bCs/>
          <w:b/>
        </w:rPr>
        <w:t xml:space="preserve">SWIFT/BIC:</w:t>
      </w:r>
      <w:r>
        <w:t xml:space="preserve"> </w:t>
      </w:r>
      <w:r>
        <w:t xml:space="preserve">ISBA TR IS</w:t>
      </w:r>
    </w:p>
    <w:p>
      <w:pPr>
        <w:pStyle w:val="BodyText"/>
      </w:pPr>
      <w:r>
        <w:t xml:space="preserve">Please reference Invoice number</w:t>
      </w:r>
      <w:r>
        <w:t xml:space="preserve"> </w:t>
      </w:r>
      <w:r>
        <w:rPr>
          <w:bCs/>
          <w:b/>
        </w:rPr>
        <w:t xml:space="preserve">INV-2025-00847</w:t>
      </w:r>
      <w:r>
        <w:t xml:space="preserve"> </w:t>
      </w:r>
      <w:r>
        <w:t xml:space="preserve">in the transfer memo. In the event of late payment, a penalty interest of 1.5% per month (as stipulated under Article 120 of the Turkish Code of Obligations) shall be applied to the outstanding balance. This Invoice is subject to the professional ethics code of the Istanbul Bar Association and the regulations of the Turkish Bar Union (Türkiye Barolar Birliği). All fees are exclusive of any court-imposed costs, expert witness fees, or travel expenses incurred outside of Istanbul metropolitan area, which will be billed separately upon prior written approval of the client.</w:t>
      </w:r>
    </w:p>
    <w:bookmarkEnd w:id="21"/>
    <w:p>
      <w:pPr>
        <w:pStyle w:val="BodyText"/>
      </w:pPr>
      <w:r>
        <w:t xml:space="preserve">NOTES &amp; LEGAL DISCLAIMERS</w:t>
      </w:r>
    </w:p>
    <w:p>
      <w:pPr>
        <w:pStyle w:val="BodyText"/>
      </w:pPr>
      <w:r>
        <w:t xml:space="preserve">1. This Invoice constitutes a formal record of legal services rendered by the undersigned Lawyer and their firm in the capacity of authorized legal counsel registered with the Istanbul Bar Association. All services were performed in compliance with the Turkish Attorney's Law (Avukatlık Kanunu No. 1136) and the applicable professional regulations.</w:t>
      </w:r>
    </w:p>
    <w:p>
      <w:pPr>
        <w:pStyle w:val="BodyText"/>
      </w:pPr>
      <w:r>
        <w:t xml:space="preserve">2. The rates specified in this Invoice reflect the standard hourly billing structure agreed upon in the Retainer Agreement dated 01 June 2025. Any deviation from the agreed scope of work will be documented in a supplementary Invoice.</w:t>
      </w:r>
    </w:p>
    <w:p>
      <w:pPr>
        <w:pStyle w:val="BodyText"/>
      </w:pPr>
      <w:r>
        <w:t xml:space="preserve">3. All legal opinions, drafts, and filings referenced in this Invoice remain the intellectual property of the firm. The client is granted a non-exclusive license to use these documents solely for the purpose of the referenced legal matter before the courts of Turkey, Istanbul.</w:t>
      </w:r>
    </w:p>
    <w:p>
      <w:pPr>
        <w:pStyle w:val="BodyText"/>
      </w:pPr>
      <w:r>
        <w:t xml:space="preserve">4. This Invoice is issued in accordance with the Turkish Accounting Law (6102 sayılı Türk Ticaret Kanunu) and the regulations of the Turkish Revenue Administration. A duplicate copy may be requested by the client for tax deduction purposes. The VAT (KDV) charged at 20% is in accordance with the current Turkish Value Added Tax Law (KDV Kanunu No. 3065).</w:t>
      </w:r>
    </w:p>
    <w:p>
      <w:pPr>
        <w:pStyle w:val="BodyText"/>
      </w:pPr>
      <w:r>
        <w:t xml:space="preserve">5. Any disputes arising from this Invoice or the services described herein shall be subject to the exclusive jurisdiction of the courts of Istanbul, Turkey. The governing law for this Invoice and the underlying engagement is the law of the Republic of Turkey.</w:t>
      </w:r>
    </w:p>
    <w:p>
      <w:pPr>
        <w:pStyle w:val="BodyText"/>
      </w:pPr>
      <w:r>
        <w:t xml:space="preserve">6. This document is valid only when bearing the official stamp (kaşe) and signature of the authorized signatory of the firm. Electronic copies transmitted via secure email are considered valid for administrative purposes but the original stamped copy must be retained for a minimum of ten (10) years as per Turkish record-keeping requirements.</w:t>
      </w:r>
    </w:p>
    <w:p>
      <w:pPr>
        <w:pStyle w:val="BodyText"/>
      </w:pPr>
      <w:r>
        <w:t xml:space="preserve">Authorized Signatory:</w:t>
      </w:r>
    </w:p>
    <w:p>
      <w:pPr>
        <w:pStyle w:val="BodyText"/>
      </w:pPr>
      <w:r>
        <w:rPr>
          <w:bCs/>
          <w:b/>
        </w:rPr>
        <w:t xml:space="preserve">Av. Mert Kaya, Esq.</w:t>
      </w:r>
      <w:r>
        <w:br/>
      </w:r>
      <w:r>
        <w:t xml:space="preserve">Partner &amp; Lead Lawyer</w:t>
      </w:r>
      <w:r>
        <w:br/>
      </w:r>
      <w:r>
        <w:t xml:space="preserve">Istanbul Bar Association — Reg. No. İST-2019-4521</w:t>
      </w:r>
      <w:r>
        <w:br/>
      </w:r>
      <w:r>
        <w:rPr>
          <w:iCs/>
          <w:i/>
        </w:rPr>
        <w:t xml:space="preserve">Stamp &amp; Signature</w:t>
      </w:r>
    </w:p>
    <w:p>
      <w:pPr>
        <w:pStyle w:val="BodyText"/>
      </w:pPr>
      <w:r>
        <w:t xml:space="preserve">AV. MERT KAYA &amp; ASSOCIATES — Legal Practice, Istanbul, Turkey</w:t>
      </w:r>
      <w:r>
        <w:br/>
      </w:r>
      <w:r>
        <w:t xml:space="preserve">Nişantaşı Mah. Teşvikiye Cad. No: 142/3, Şişli / Istanbul — 34365</w:t>
      </w:r>
      <w:r>
        <w:br/>
      </w:r>
      <w:r>
        <w:t xml:space="preserve">Tel: +90 (212) 433 87 65 | Web: www.avmertkaya.com.tr | Email: info@avmertkaya.com.tr</w:t>
      </w:r>
      <w:r>
        <w:br/>
      </w:r>
      <w:r>
        <w:t xml:space="preserve">© 2025 Av. Mert Kaya &amp; Associates. All rights reserved. This Invoice is a legally binding document under the laws of the Republic of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Services Invoice - Istanbul, Turkey</dc:title>
  <dc:creator/>
  <dc:language>en</dc:language>
  <cp:keywords/>
  <dcterms:created xsi:type="dcterms:W3CDTF">2026-10-10T06:23:07Z</dcterms:created>
  <dcterms:modified xsi:type="dcterms:W3CDTF">2026-10-10T06:23:07Z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