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invoice"/>
    <w:p>
      <w:pPr>
        <w:pStyle w:val="Heading1"/>
      </w:pPr>
      <w:r>
        <w:t xml:space="preserve">INVOICE</w:t>
      </w:r>
    </w:p>
    <w:p>
      <w:pPr>
        <w:pStyle w:val="FirstParagraph"/>
      </w:pPr>
      <w:r>
        <w:t xml:space="preserve">Al Noor Legal Counsel &amp; Advocacy LLP</w:t>
      </w:r>
    </w:p>
    <w:p>
      <w:pPr>
        <w:pStyle w:val="BodyText"/>
      </w:pPr>
      <w:r>
        <w:t xml:space="preserve">Licensed Lawyer Firm — United Arab Emirates, Abu Dhabi</w:t>
      </w:r>
    </w:p>
    <w:bookmarkEnd w:id="20"/>
    <w:bookmarkStart w:id="21" w:name="lawyer-firm-details"/>
    <w:p>
      <w:pPr>
        <w:pStyle w:val="Heading3"/>
      </w:pPr>
      <w:r>
        <w:t xml:space="preserve">Lawyer / Firm Details</w:t>
      </w:r>
    </w:p>
    <w:p>
      <w:pPr>
        <w:pStyle w:val="FirstParagraph"/>
      </w:pPr>
      <w:r>
        <w:rPr>
          <w:bCs/>
          <w:b/>
        </w:rPr>
        <w:t xml:space="preserve">Al Noor Legal Counsel &amp; Advocacy LLP</w:t>
      </w:r>
      <w:r>
        <w:br/>
      </w:r>
      <w:r>
        <w:t xml:space="preserve">Office 1204, Level 12, Al Reem Island Tower</w:t>
      </w:r>
      <w:r>
        <w:br/>
      </w:r>
      <w:r>
        <w:t xml:space="preserve">P.O. Box 45218, Abu Dhabi, United Arab Emirates</w:t>
      </w:r>
      <w:r>
        <w:br/>
      </w:r>
      <w:r>
        <w:t xml:space="preserve">Tel: +971 2 445 6789</w:t>
      </w:r>
      <w:r>
        <w:br/>
      </w:r>
      <w:r>
        <w:t xml:space="preserve">Email: billing@alnoorlegal.ae</w:t>
      </w:r>
      <w:r>
        <w:br/>
      </w:r>
      <w:r>
        <w:t xml:space="preserve">TRN: 100234567800003</w:t>
      </w:r>
      <w:r>
        <w:br/>
      </w:r>
      <w:r>
        <w:t xml:space="preserve">License No.: AD-LEGAL-2019-00847</w:t>
      </w:r>
    </w:p>
    <w:bookmarkEnd w:id="21"/>
    <w:bookmarkStart w:id="22" w:name="bill-to-client"/>
    <w:p>
      <w:pPr>
        <w:pStyle w:val="Heading3"/>
      </w:pPr>
      <w:r>
        <w:t xml:space="preserve">Bill To (Client)</w:t>
      </w:r>
    </w:p>
    <w:p>
      <w:pPr>
        <w:pStyle w:val="FirstParagraph"/>
      </w:pPr>
      <w:r>
        <w:rPr>
          <w:bCs/>
          <w:b/>
        </w:rPr>
        <w:t xml:space="preserve">Mr. Khalid bin Saeed Al Maktoum</w:t>
      </w:r>
      <w:r>
        <w:br/>
      </w:r>
      <w:r>
        <w:t xml:space="preserve">Director, Al Maktoum Trading FZE</w:t>
      </w:r>
      <w:r>
        <w:br/>
      </w:r>
      <w:r>
        <w:t xml:space="preserve">Office 702, Corniche Tower, Khalifa City</w:t>
      </w:r>
      <w:r>
        <w:br/>
      </w:r>
      <w:r>
        <w:t xml:space="preserve">P.O. Box 12894, Abu Dhabi, United Arab Emirates</w:t>
      </w:r>
      <w:r>
        <w:br/>
      </w:r>
      <w:r>
        <w:t xml:space="preserve">Tel: +971 50 334 5678</w:t>
      </w:r>
      <w:r>
        <w:br/>
      </w:r>
      <w:r>
        <w:t xml:space="preserve">Email: k.maktoum@almaktoumtrading.ae</w:t>
      </w:r>
      <w:r>
        <w:br/>
      </w:r>
      <w:r>
        <w:t xml:space="preserve">Client Ref: ANL-2024-0312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ANL/INV/2024/0487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Matter Reference:</w:t>
            </w:r>
          </w:p>
        </w:tc>
        <w:tc>
          <w:tcPr/>
          <w:p>
            <w:pPr>
              <w:pStyle w:val="Compact"/>
              <w:jc w:val="left"/>
            </w:pPr>
            <w:r>
              <w:t xml:space="preserve">Commercial Dispute — Contract No. CT-2024-119</w:t>
            </w:r>
          </w:p>
        </w:tc>
        <w:tc>
          <w:tcPr/>
          <w:p>
            <w:pPr>
              <w:pStyle w:val="Compact"/>
              <w:jc w:val="left"/>
            </w:pPr>
            <w:r>
              <w:t xml:space="preserve">Jurisdiction:</w:t>
            </w:r>
          </w:p>
        </w:tc>
        <w:tc>
          <w:tcPr/>
          <w:p>
            <w:pPr>
              <w:pStyle w:val="Compact"/>
              <w:jc w:val="left"/>
            </w:pPr>
            <w:r>
              <w:t xml:space="preserve">Abu Dhabi Courts, United Arab Emirates</w:t>
            </w:r>
          </w:p>
        </w:tc>
      </w:tr>
    </w:tbl>
    <w:bookmarkStart w:id="24"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Initial consultation and comprehensive review of the commercial supply agreement between Al Maktoum Trading FZE and the counterparty, including identification of breach clauses, penalty provisions, and applicable UAE Federal Commercial Transactions Law provisions.</w:t>
            </w:r>
          </w:p>
        </w:tc>
        <w:tc>
          <w:tcPr/>
          <w:p>
            <w:pPr>
              <w:pStyle w:val="Compact"/>
              <w:jc w:val="left"/>
            </w:pPr>
            <w:r>
              <w:t xml:space="preserve">4.5 hours</w:t>
            </w:r>
          </w:p>
        </w:tc>
        <w:tc>
          <w:tcPr/>
          <w:p>
            <w:pPr>
              <w:pStyle w:val="Compact"/>
              <w:jc w:val="left"/>
            </w:pPr>
            <w:r>
              <w:t xml:space="preserve">1,200.00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Drafting and filing of a formal Statement of Claim before the Abu Dhabi Court of First Instance, United Arab Emirates, seeking specific performance and monetary damages in the amount of AED 2,450,000. Includes preparation of supporting exhibits, power of attorney, and court registration fees.</w:t>
            </w:r>
          </w:p>
        </w:tc>
        <w:tc>
          <w:tcPr/>
          <w:p>
            <w:pPr>
              <w:pStyle w:val="Compact"/>
              <w:jc w:val="left"/>
            </w:pPr>
            <w:r>
              <w:t xml:space="preserve">12.0 hours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Preparation of legal memorandum and expert opinion on the enforceability of the arbitration clause under UAE Federal Law No. 18 of 1993 (Arbitration Law) and its amendments, as well as the New York Convention 1958 as adopted in the United Arab Emirates.</w:t>
            </w:r>
          </w:p>
        </w:tc>
        <w:tc>
          <w:tcPr/>
          <w:p>
            <w:pPr>
              <w:pStyle w:val="Compact"/>
              <w:jc w:val="left"/>
            </w:pPr>
            <w:r>
              <w:t xml:space="preserve">6.0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Representation of the client at the first hearing before the Abu Dhabi Commercial Court, United Arab Emirates, including oral argument, cross-examination of the opposing party's witnesses, and submission of written legal arguments in Arabic and English.</w:t>
            </w:r>
          </w:p>
        </w:tc>
        <w:tc>
          <w:tcPr/>
          <w:p>
            <w:pPr>
              <w:pStyle w:val="Compact"/>
              <w:jc w:val="left"/>
            </w:pPr>
            <w:r>
              <w:t xml:space="preserve">8.0 hours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Negotiation and drafting of a proposed settlement agreement and mediation submission to the Abu Dhabi Centre for Amicable Settlement, including three rounds of negotiation with opposing counsel and finalization of settlement terms.</w:t>
            </w:r>
          </w:p>
        </w:tc>
        <w:tc>
          <w:tcPr/>
          <w:p>
            <w:pPr>
              <w:pStyle w:val="Compact"/>
              <w:jc w:val="left"/>
            </w:pPr>
            <w:r>
              <w:t xml:space="preserve">10.5 hours</w:t>
            </w:r>
          </w:p>
        </w:tc>
        <w:tc>
          <w:tcPr/>
          <w:p>
            <w:pPr>
              <w:pStyle w:val="Compact"/>
              <w:jc w:val="left"/>
            </w:pPr>
            <w:r>
              <w:t xml:space="preserve">1,200.00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Out-of-pocket expenses: Court filing fees, translation and notarization of documents (Arabic to English), certified copies from Abu Dhabi Court Registry, and courier services within the United Arab Emirates.</w:t>
            </w:r>
          </w:p>
        </w:tc>
        <w:tc>
          <w:tcPr/>
          <w:p>
            <w:pPr>
              <w:pStyle w:val="Compact"/>
              <w:jc w:val="left"/>
            </w:pPr>
            <w:r>
              <w:t xml:space="preserve">1 lot</w:t>
            </w:r>
          </w:p>
        </w:tc>
        <w:tc>
          <w:tcPr/>
          <w:p>
            <w:pPr>
              <w:pStyle w:val="Compact"/>
              <w:jc w:val="left"/>
            </w:pPr>
            <w:r>
              <w:t xml:space="preserve">3,850.00</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AED 51,600.00</w:t>
            </w:r>
          </w:p>
        </w:tc>
      </w:tr>
      <w:tr>
        <w:tc>
          <w:tcPr/>
          <w:p>
            <w:pPr>
              <w:pStyle w:val="Compact"/>
              <w:jc w:val="left"/>
            </w:pPr>
            <w:r>
              <w:t xml:space="preserve">Out-of-Pocket Expenses</w:t>
            </w:r>
          </w:p>
        </w:tc>
        <w:tc>
          <w:tcPr/>
          <w:p>
            <w:pPr>
              <w:pStyle w:val="Compact"/>
              <w:jc w:val="left"/>
            </w:pPr>
            <w:r>
              <w:t xml:space="preserve">AED 3,850.00</w:t>
            </w:r>
          </w:p>
        </w:tc>
      </w:tr>
      <w:tr>
        <w:tc>
          <w:tcPr/>
          <w:p>
            <w:pPr>
              <w:pStyle w:val="Compact"/>
              <w:jc w:val="left"/>
            </w:pPr>
            <w:r>
              <w:t xml:space="preserve">VAT @ 5% (UAE Federal Tax Authority)</w:t>
            </w:r>
          </w:p>
        </w:tc>
        <w:tc>
          <w:tcPr/>
          <w:p>
            <w:pPr>
              <w:pStyle w:val="Compact"/>
              <w:jc w:val="left"/>
            </w:pPr>
            <w:r>
              <w:t xml:space="preserve">AED 2,772.50</w:t>
            </w:r>
          </w:p>
        </w:tc>
      </w:tr>
      <w:tr>
        <w:tc>
          <w:tcPr/>
          <w:p>
            <w:pPr>
              <w:pStyle w:val="Compact"/>
              <w:jc w:val="left"/>
            </w:pPr>
            <w:r>
              <w:t xml:space="preserve">Grand Total Due</w:t>
            </w:r>
          </w:p>
        </w:tc>
        <w:tc>
          <w:tcPr/>
          <w:p>
            <w:pPr>
              <w:pStyle w:val="Compact"/>
              <w:jc w:val="left"/>
            </w:pPr>
            <w:r>
              <w:t xml:space="preserve">AED 58,222.50</w:t>
            </w:r>
          </w:p>
        </w:tc>
      </w:tr>
    </w:tbl>
    <w:p>
      <w:pPr>
        <w:pStyle w:val="BodyText"/>
      </w:pPr>
      <w:r>
        <w:t xml:space="preserve">VAT is applied in accordance with the UAE Federal Decree-Law No. 8 of 2017 on Value Added Tax as enforced by the Federal Tax Authority of the United Arab Emirates, Abu Dhabi region.</w:t>
      </w:r>
    </w:p>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fourteen (14) calendar days from the Invoice date, i.e., no later than 30 June 2025, by bank transfer to the firm's designated account at Emirates NBD Bank, Abu Dhabi, United Arab Emirates (IBAN: AE0702600000000123456789).</w:t>
      </w:r>
    </w:p>
    <w:p>
      <w:pPr>
        <w:numPr>
          <w:ilvl w:val="0"/>
          <w:numId w:val="1001"/>
        </w:numPr>
        <w:pStyle w:val="Compact"/>
      </w:pPr>
      <w:r>
        <w:t xml:space="preserve">Payment shall be made in UAE Dirhams (AED). Any foreign currency conversion shall be at the prevailing Central Bank of the United Arab Emirates rate on the date of payment.</w:t>
      </w:r>
    </w:p>
    <w:p>
      <w:pPr>
        <w:numPr>
          <w:ilvl w:val="0"/>
          <w:numId w:val="1001"/>
        </w:numPr>
        <w:pStyle w:val="Compact"/>
      </w:pPr>
      <w:r>
        <w:t xml:space="preserve">Late payments shall attract a penalty interest of 2% per month, calculated from the due date until the date of actual receipt of funds, in accordance with the terms of the retainer agreement executed between the Lawyer and the client.</w:t>
      </w:r>
    </w:p>
    <w:p>
      <w:pPr>
        <w:numPr>
          <w:ilvl w:val="0"/>
          <w:numId w:val="1001"/>
        </w:numPr>
        <w:pStyle w:val="Compact"/>
      </w:pPr>
      <w:r>
        <w:t xml:space="preserve">This Invoice constitutes a final and binding statement of all fees and expenses incurred by the Lawyer in connection with the referenced matter as of the Invoice date. Any additional services rendered after this date shall be subject to a supplementary Invoice.</w:t>
      </w:r>
    </w:p>
    <w:p>
      <w:pPr>
        <w:numPr>
          <w:ilvl w:val="0"/>
          <w:numId w:val="1001"/>
        </w:numPr>
        <w:pStyle w:val="Compact"/>
      </w:pPr>
      <w:r>
        <w:t xml:space="preserve">The client acknowledges that all legal advice, opinions, and representations provided by the Lawyer are governed by the laws of the United Arab Emirates and are subject to the jurisdiction of the courts of Abu Dhabi, United Arab Emirates.</w:t>
      </w:r>
    </w:p>
    <w:p>
      <w:pPr>
        <w:numPr>
          <w:ilvl w:val="0"/>
          <w:numId w:val="1001"/>
        </w:numPr>
        <w:pStyle w:val="Compact"/>
      </w:pPr>
      <w:r>
        <w:t xml:space="preserve">Confidentiality: All information contained in this Invoice and the underlying legal matter is strictly confidential and protected under UAE Federal Law No. 34 of 2021 on the Protection of Personal Data and the professional ethical obligations of the Lawyer as a licensed advocate in Abu Dhabi.</w:t>
      </w:r>
    </w:p>
    <w:bookmarkEnd w:id="23"/>
    <w:p>
      <w:pPr>
        <w:pStyle w:val="FirstParagraph"/>
      </w:pPr>
      <w:r>
        <w:t xml:space="preserve">For and on behalf of the Lawyer / Firm:</w:t>
      </w:r>
    </w:p>
    <w:p>
      <w:pPr>
        <w:pStyle w:val="BodyText"/>
      </w:pPr>
      <w:r>
        <w:rPr>
          <w:bCs/>
          <w:b/>
        </w:rPr>
        <w:t xml:space="preserve">Adv. Dr. Fatima Al Zahraa</w:t>
      </w:r>
      <w:r>
        <w:br/>
      </w:r>
      <w:r>
        <w:t xml:space="preserve">Managing Partner, Al Noor Legal Counsel &amp; Advocacy LLP</w:t>
      </w:r>
      <w:r>
        <w:br/>
      </w:r>
      <w:r>
        <w:t xml:space="preserve">Abu Dhabi, United Arab Emirates</w:t>
      </w:r>
    </w:p>
    <w:p>
      <w:pPr>
        <w:pStyle w:val="BodyText"/>
      </w:pPr>
      <w:r>
        <w:t xml:space="preserve">Acknowledged and Accepted by the Client:</w:t>
      </w:r>
    </w:p>
    <w:p>
      <w:pPr>
        <w:pStyle w:val="BodyText"/>
      </w:pPr>
      <w:r>
        <w:rPr>
          <w:bCs/>
          <w:b/>
        </w:rPr>
        <w:t xml:space="preserve">Mr. Khalid bin Saeed Al Maktoum</w:t>
      </w:r>
      <w:r>
        <w:br/>
      </w:r>
      <w:r>
        <w:t xml:space="preserve">Director, Al Maktoum Trading FZE</w:t>
      </w:r>
      <w:r>
        <w:br/>
      </w:r>
      <w:r>
        <w:t xml:space="preserve">Abu Dhabi, United Arab Emirates</w:t>
      </w:r>
    </w:p>
    <w:p>
      <w:pPr>
        <w:pStyle w:val="BodyText"/>
      </w:pPr>
      <w:r>
        <w:t xml:space="preserve">This Invoice is issued by a licensed Lawyer firm registered with the Abu Dhabi Courts and the Abu Dhabi Department of Justice &amp; Legal Affairs, United Arab Emirates. All services are rendered in compliance with the UAE Advocacy Law (Federal Law No. 23 of 1991) and its amendments. This document is valid only when bearing the official stamp and signature of the issuing Lawyer. For queries regarding this Invoice, please contact the billing department at billing@alnoorlegal.ae or +971 2 445 6789, Abu Dhabi, United Arab Emirates.</w:t>
      </w:r>
    </w:p>
    <w:p>
      <w:pPr>
        <w:pStyle w:val="BodyText"/>
      </w:pPr>
      <w:r>
        <w:t xml:space="preserve">© 2025 Al Noor Legal Counsel &amp; Advocacy LLP — Abu Dhabi, United Arab Emirates.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Abu Dhabi, United Arab Emirates</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