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invoice"/>
    <w:p>
      <w:pPr>
        <w:pStyle w:val="Heading1"/>
      </w:pPr>
      <w:r>
        <w:t xml:space="preserve">Invoice</w:t>
      </w:r>
    </w:p>
    <w:p>
      <w:pPr>
        <w:pStyle w:val="FirstParagraph"/>
      </w:pPr>
      <w:r>
        <w:t xml:space="preserve">Legal Services Invoice — United Arab Emirates Dubai</w:t>
      </w:r>
    </w:p>
    <w:p>
      <w:pPr>
        <w:pStyle w:val="BodyText"/>
      </w:pPr>
      <w:r>
        <w:t xml:space="preserve">OFFICIAL LEGAL INVOICE</w:t>
      </w:r>
    </w:p>
    <w:bookmarkEnd w:id="20"/>
    <w:bookmarkStart w:id="21" w:name="lawyer-firm-details"/>
    <w:p>
      <w:pPr>
        <w:pStyle w:val="Heading3"/>
      </w:pPr>
      <w:r>
        <w:t xml:space="preserve">Lawyer / Firm Details</w:t>
      </w:r>
    </w:p>
    <w:p>
      <w:pPr>
        <w:pStyle w:val="FirstParagraph"/>
      </w:pPr>
      <w:r>
        <w:rPr>
          <w:bCs/>
          <w:b/>
        </w:rPr>
        <w:t xml:space="preserve">Al Marwan &amp; Associates Legal LLP</w:t>
      </w:r>
      <w:r>
        <w:br/>
      </w:r>
      <w:r>
        <w:t xml:space="preserve">Tower 1, Level 42, Business Bay</w:t>
      </w:r>
      <w:r>
        <w:br/>
      </w:r>
      <w:r>
        <w:t xml:space="preserve">United Arab Emirates Dubai, DIFC</w:t>
      </w:r>
      <w:r>
        <w:br/>
      </w:r>
      <w:r>
        <w:t xml:space="preserve">P.O. Box 12847, Dubai, UAE</w:t>
      </w:r>
      <w:r>
        <w:br/>
      </w:r>
      <w:r>
        <w:t xml:space="preserve">Tel: +971 4 555 0192</w:t>
      </w:r>
      <w:r>
        <w:br/>
      </w:r>
      <w:r>
        <w:t xml:space="preserve">Email: invoices@almarwanlegal.ae</w:t>
      </w:r>
      <w:r>
        <w:br/>
      </w:r>
      <w:r>
        <w:t xml:space="preserve">TRN: 100234567800003</w:t>
      </w:r>
      <w:r>
        <w:br/>
      </w:r>
      <w:r>
        <w:t xml:space="preserve">DIFC Law Firm License No. LF-2019-0847</w:t>
      </w:r>
    </w:p>
    <w:bookmarkEnd w:id="21"/>
    <w:bookmarkStart w:id="22" w:name="bill-to-client"/>
    <w:p>
      <w:pPr>
        <w:pStyle w:val="Heading3"/>
      </w:pPr>
      <w:r>
        <w:t xml:space="preserve">Bill To (Client)</w:t>
      </w:r>
    </w:p>
    <w:p>
      <w:pPr>
        <w:pStyle w:val="FirstParagraph"/>
      </w:pPr>
      <w:r>
        <w:rPr>
          <w:bCs/>
          <w:b/>
        </w:rPr>
        <w:t xml:space="preserve">Emirates Global Trading FZE</w:t>
      </w:r>
      <w:r>
        <w:br/>
      </w:r>
      <w:r>
        <w:t xml:space="preserve">Office 7B, Level 3, Jumeirah Lake Towers</w:t>
      </w:r>
      <w:r>
        <w:br/>
      </w:r>
      <w:r>
        <w:t xml:space="preserve">United Arab Emirates Dubai</w:t>
      </w:r>
      <w:r>
        <w:br/>
      </w:r>
      <w:r>
        <w:t xml:space="preserve">P.O. Box 94521, Dubai, UAE</w:t>
      </w:r>
      <w:r>
        <w:br/>
      </w:r>
      <w:r>
        <w:t xml:space="preserve">Attn: Mr. Khalid Al Mansoori, General Counsel</w:t>
      </w:r>
      <w:r>
        <w:br/>
      </w:r>
      <w:r>
        <w:t xml:space="preserve">Client Reference: EGT-2024-0312</w:t>
      </w:r>
      <w:r>
        <w:br/>
      </w:r>
      <w:r>
        <w:t xml:space="preserve">VAT Registration No. 100987654300003</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INV-2024-00847</w:t>
            </w:r>
          </w:p>
        </w:tc>
      </w:tr>
      <w:tr>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Due Date:</w:t>
            </w:r>
          </w:p>
        </w:tc>
        <w:tc>
          <w:tcPr/>
          <w:p>
            <w:pPr>
              <w:pStyle w:val="Compact"/>
              <w:jc w:val="left"/>
            </w:pPr>
            <w:r>
              <w:t xml:space="preserve">29 June 2025 (14 days from Invoice date)</w:t>
            </w:r>
          </w:p>
        </w:tc>
      </w:tr>
      <w:tr>
        <w:tc>
          <w:tcPr/>
          <w:p>
            <w:pPr>
              <w:pStyle w:val="Compact"/>
              <w:jc w:val="left"/>
            </w:pPr>
            <w:r>
              <w:t xml:space="preserve">Engagement Reference:</w:t>
            </w:r>
          </w:p>
        </w:tc>
        <w:tc>
          <w:tcPr/>
          <w:p>
            <w:pPr>
              <w:pStyle w:val="Compact"/>
              <w:jc w:val="left"/>
            </w:pPr>
            <w:r>
              <w:t xml:space="preserve">ENG-2024-0312 (Corporate Restructuring &amp; Regulatory Compliance)</w:t>
            </w:r>
          </w:p>
        </w:tc>
      </w:tr>
      <w:tr>
        <w:tc>
          <w:tcPr/>
          <w:p>
            <w:pPr>
              <w:pStyle w:val="Compact"/>
              <w:jc w:val="left"/>
            </w:pPr>
            <w:r>
              <w:t xml:space="preserve">Lawyer in Charge:</w:t>
            </w:r>
          </w:p>
        </w:tc>
        <w:tc>
          <w:tcPr/>
          <w:p>
            <w:pPr>
              <w:pStyle w:val="Compact"/>
              <w:jc w:val="left"/>
            </w:pPr>
            <w:r>
              <w:t xml:space="preserve">Adv. Fatima Al Rashidi, Senior Partner</w:t>
            </w:r>
          </w:p>
        </w:tc>
      </w:tr>
      <w:tr>
        <w:tc>
          <w:tcPr/>
          <w:p>
            <w:pPr>
              <w:pStyle w:val="Compact"/>
              <w:jc w:val="left"/>
            </w:pPr>
            <w:r>
              <w:t xml:space="preserve">Currency:</w:t>
            </w:r>
          </w:p>
        </w:tc>
        <w:tc>
          <w:tcPr/>
          <w:p>
            <w:pPr>
              <w:pStyle w:val="Compact"/>
              <w:jc w:val="left"/>
            </w:pPr>
            <w:r>
              <w:t xml:space="preserve">United Arab Emirates Dirham (AED)</w:t>
            </w:r>
          </w:p>
        </w:tc>
      </w:tr>
      <w:tr>
        <w:tc>
          <w:tcPr/>
          <w:p>
            <w:pPr>
              <w:pStyle w:val="Compact"/>
              <w:jc w:val="left"/>
            </w:pPr>
            <w:r>
              <w:t xml:space="preserve">Payment Method:</w:t>
            </w:r>
          </w:p>
        </w:tc>
        <w:tc>
          <w:tcPr/>
          <w:p>
            <w:pPr>
              <w:pStyle w:val="Compact"/>
              <w:jc w:val="left"/>
            </w:pPr>
            <w:r>
              <w:t xml:space="preserve">Bank Transfer — Emirates NBD, A/C 002-1145-0009876-543</w:t>
            </w:r>
          </w:p>
        </w:tc>
      </w:tr>
    </w:tbl>
    <w:bookmarkStart w:id="24" w:name="X0b25b31d720b1c39146bdfeab7a54df653e85de"/>
    <w:p>
      <w:pPr>
        <w:pStyle w:val="Heading2"/>
      </w:pPr>
      <w:r>
        <w:t xml:space="preserve">Description of Legal Services Rendered by the Lawyer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01</w:t>
            </w:r>
          </w:p>
        </w:tc>
        <w:tc>
          <w:tcPr/>
          <w:p>
            <w:pPr>
              <w:pStyle w:val="Compact"/>
              <w:jc w:val="left"/>
            </w:pPr>
            <w:r>
              <w:t xml:space="preserve">Initial consultation and comprehensive legal assessment of the corporate restructuring plan for Emirates Global Trading FZE, conducted by the assigned Lawyer at the firm's office in United Arab Emirates Dubai. Includes review of existing shareholding agreements, shareholder resolutions, and board minutes.</w:t>
            </w:r>
          </w:p>
        </w:tc>
        <w:tc>
          <w:tcPr/>
          <w:p>
            <w:pPr>
              <w:pStyle w:val="Compact"/>
              <w:jc w:val="left"/>
            </w:pPr>
            <w:r>
              <w:t xml:space="preserve">6.5 hrs</w:t>
            </w:r>
          </w:p>
        </w:tc>
        <w:tc>
          <w:tcPr/>
          <w:p>
            <w:pPr>
              <w:pStyle w:val="Compact"/>
              <w:jc w:val="left"/>
            </w:pPr>
            <w:r>
              <w:t xml:space="preserve">1,200.00</w:t>
            </w:r>
          </w:p>
        </w:tc>
        <w:tc>
          <w:tcPr/>
          <w:p>
            <w:pPr>
              <w:pStyle w:val="Compact"/>
              <w:jc w:val="left"/>
            </w:pPr>
            <w:r>
              <w:t xml:space="preserve">7,800.00</w:t>
            </w:r>
          </w:p>
        </w:tc>
        <w:tc>
          <w:tcPr/>
          <w:p>
            <w:pPr>
              <w:pStyle w:val="Compact"/>
              <w:jc w:val="left"/>
            </w:pPr>
            <w:r>
              <w:t xml:space="preserve">390.00</w:t>
            </w:r>
          </w:p>
        </w:tc>
      </w:tr>
      <w:tr>
        <w:tc>
          <w:tcPr/>
          <w:p>
            <w:pPr>
              <w:pStyle w:val="Compact"/>
              <w:jc w:val="left"/>
            </w:pPr>
            <w:r>
              <w:t xml:space="preserve">02</w:t>
            </w:r>
          </w:p>
        </w:tc>
        <w:tc>
          <w:tcPr/>
          <w:p>
            <w:pPr>
              <w:pStyle w:val="Compact"/>
              <w:jc w:val="left"/>
            </w:pPr>
            <w:r>
              <w:t xml:space="preserve">Drafting and negotiation of the Amended and Restated Shareholders' Agreement, including dispute resolution clauses compliant with the DIFC Arbitration Centre rules and the United Arab Emirates Federal Law No. 32 of 2021 on Commercial Companies.</w:t>
            </w:r>
          </w:p>
        </w:tc>
        <w:tc>
          <w:tcPr/>
          <w:p>
            <w:pPr>
              <w:pStyle w:val="Compact"/>
              <w:jc w:val="left"/>
            </w:pPr>
            <w:r>
              <w:t xml:space="preserve">12.0 hrs</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720.00</w:t>
            </w:r>
          </w:p>
        </w:tc>
      </w:tr>
      <w:tr>
        <w:tc>
          <w:tcPr/>
          <w:p>
            <w:pPr>
              <w:pStyle w:val="Compact"/>
              <w:jc w:val="left"/>
            </w:pPr>
            <w:r>
              <w:t xml:space="preserve">03</w:t>
            </w:r>
          </w:p>
        </w:tc>
        <w:tc>
          <w:tcPr/>
          <w:p>
            <w:pPr>
              <w:pStyle w:val="Compact"/>
              <w:jc w:val="left"/>
            </w:pPr>
            <w:r>
              <w:t xml:space="preserve">Regulatory compliance advisory: preparation of filings with the Dubai Financial Services Authority (DFSA) and the Securities and Commodities Authority (SCA) in United Arab Emirates Dubai. Includes drafting of the notification letter, supporting memorandum, and response to regulatory queries.</w:t>
            </w:r>
          </w:p>
        </w:tc>
        <w:tc>
          <w:tcPr/>
          <w:p>
            <w:pPr>
              <w:pStyle w:val="Compact"/>
              <w:jc w:val="left"/>
            </w:pPr>
            <w:r>
              <w:t xml:space="preserve">9.5 hrs</w:t>
            </w:r>
          </w:p>
        </w:tc>
        <w:tc>
          <w:tcPr/>
          <w:p>
            <w:pPr>
              <w:pStyle w:val="Compact"/>
              <w:jc w:val="left"/>
            </w:pPr>
            <w:r>
              <w:t xml:space="preserve">1,200.00</w:t>
            </w:r>
          </w:p>
        </w:tc>
        <w:tc>
          <w:tcPr/>
          <w:p>
            <w:pPr>
              <w:pStyle w:val="Compact"/>
              <w:jc w:val="left"/>
            </w:pPr>
            <w:r>
              <w:t xml:space="preserve">11,400.00</w:t>
            </w:r>
          </w:p>
        </w:tc>
        <w:tc>
          <w:tcPr/>
          <w:p>
            <w:pPr>
              <w:pStyle w:val="Compact"/>
              <w:jc w:val="left"/>
            </w:pPr>
            <w:r>
              <w:t xml:space="preserve">570.00</w:t>
            </w:r>
          </w:p>
        </w:tc>
      </w:tr>
      <w:tr>
        <w:tc>
          <w:tcPr/>
          <w:p>
            <w:pPr>
              <w:pStyle w:val="Compact"/>
              <w:jc w:val="left"/>
            </w:pPr>
            <w:r>
              <w:t xml:space="preserve">04</w:t>
            </w:r>
          </w:p>
        </w:tc>
        <w:tc>
          <w:tcPr/>
          <w:p>
            <w:pPr>
              <w:pStyle w:val="Compact"/>
              <w:jc w:val="left"/>
            </w:pPr>
            <w:r>
              <w:t xml:space="preserve">Due diligence review of three (3) subsidiary entities registered in the Dubai Multi Commodities Centre (DMCC) Free Zone. The Lawyer conducted a full review of trade licenses, beneficial ownership registers, and outstanding contractual obligations to ensure compliance with UAE Anti-Money Laundering regulations.</w:t>
            </w:r>
          </w:p>
        </w:tc>
        <w:tc>
          <w:tcPr/>
          <w:p>
            <w:pPr>
              <w:pStyle w:val="Compact"/>
              <w:jc w:val="left"/>
            </w:pPr>
            <w:r>
              <w:t xml:space="preserve">18.0 hrs</w:t>
            </w:r>
          </w:p>
        </w:tc>
        <w:tc>
          <w:tcPr/>
          <w:p>
            <w:pPr>
              <w:pStyle w:val="Compact"/>
              <w:jc w:val="left"/>
            </w:pPr>
            <w:r>
              <w:t xml:space="preserve">1,200.00</w:t>
            </w:r>
          </w:p>
        </w:tc>
        <w:tc>
          <w:tcPr/>
          <w:p>
            <w:pPr>
              <w:pStyle w:val="Compact"/>
              <w:jc w:val="left"/>
            </w:pPr>
            <w:r>
              <w:t xml:space="preserve">21,600.00</w:t>
            </w:r>
          </w:p>
        </w:tc>
        <w:tc>
          <w:tcPr/>
          <w:p>
            <w:pPr>
              <w:pStyle w:val="Compact"/>
              <w:jc w:val="left"/>
            </w:pPr>
            <w:r>
              <w:t xml:space="preserve">1,080.00</w:t>
            </w:r>
          </w:p>
        </w:tc>
      </w:tr>
      <w:tr>
        <w:tc>
          <w:tcPr/>
          <w:p>
            <w:pPr>
              <w:pStyle w:val="Compact"/>
              <w:jc w:val="left"/>
            </w:pPr>
            <w:r>
              <w:t xml:space="preserve">05</w:t>
            </w:r>
          </w:p>
        </w:tc>
        <w:tc>
          <w:tcPr/>
          <w:p>
            <w:pPr>
              <w:pStyle w:val="Compact"/>
              <w:jc w:val="left"/>
            </w:pPr>
            <w:r>
              <w:t xml:space="preserve">Representation of the client before the DIFC Courts in United Arab Emirates Dubai regarding the pending commercial dispute (Case No. CIV-2024-1187). Includes preparation of the Statement of Claim, witness statements, and attendance at two (2) case management hearings.</w:t>
            </w:r>
          </w:p>
        </w:tc>
        <w:tc>
          <w:tcPr/>
          <w:p>
            <w:pPr>
              <w:pStyle w:val="Compact"/>
              <w:jc w:val="left"/>
            </w:pPr>
            <w:r>
              <w:t xml:space="preserve">14.0 hrs</w:t>
            </w:r>
          </w:p>
        </w:tc>
        <w:tc>
          <w:tcPr/>
          <w:p>
            <w:pPr>
              <w:pStyle w:val="Compact"/>
              <w:jc w:val="left"/>
            </w:pPr>
            <w:r>
              <w:t xml:space="preserve">1,500.00</w:t>
            </w:r>
          </w:p>
        </w:tc>
        <w:tc>
          <w:tcPr/>
          <w:p>
            <w:pPr>
              <w:pStyle w:val="Compact"/>
              <w:jc w:val="left"/>
            </w:pPr>
            <w:r>
              <w:t xml:space="preserve">21,000.00</w:t>
            </w:r>
          </w:p>
        </w:tc>
        <w:tc>
          <w:tcPr/>
          <w:p>
            <w:pPr>
              <w:pStyle w:val="Compact"/>
              <w:jc w:val="left"/>
            </w:pPr>
            <w:r>
              <w:t xml:space="preserve">1,050.00</w:t>
            </w:r>
          </w:p>
        </w:tc>
      </w:tr>
      <w:tr>
        <w:tc>
          <w:tcPr/>
          <w:p>
            <w:pPr>
              <w:pStyle w:val="Compact"/>
              <w:jc w:val="left"/>
            </w:pPr>
            <w:r>
              <w:t xml:space="preserve">06</w:t>
            </w:r>
          </w:p>
        </w:tc>
        <w:tc>
          <w:tcPr/>
          <w:p>
            <w:pPr>
              <w:pStyle w:val="Compact"/>
              <w:jc w:val="left"/>
            </w:pPr>
            <w:r>
              <w:t xml:space="preserve">Preparation of the final legal opinion letter regarding the tax implications of the proposed intra-group asset transfer under the UAE Corporate Tax Law (Federal Decree-Law No. 47 of 2022). The Lawyer provided a written opinion of 22 pages with supporting statutory references.</w:t>
            </w:r>
          </w:p>
        </w:tc>
        <w:tc>
          <w:tcPr/>
          <w:p>
            <w:pPr>
              <w:pStyle w:val="Compact"/>
              <w:jc w:val="left"/>
            </w:pPr>
            <w:r>
              <w:t xml:space="preserve">8.0 hrs</w:t>
            </w:r>
          </w:p>
        </w:tc>
        <w:tc>
          <w:tcPr/>
          <w:p>
            <w:pPr>
              <w:pStyle w:val="Compact"/>
              <w:jc w:val="left"/>
            </w:pPr>
            <w:r>
              <w:t xml:space="preserve">1,200.00</w:t>
            </w:r>
          </w:p>
        </w:tc>
        <w:tc>
          <w:tcPr/>
          <w:p>
            <w:pPr>
              <w:pStyle w:val="Compact"/>
              <w:jc w:val="left"/>
            </w:pPr>
            <w:r>
              <w:t xml:space="preserve">9,600.00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Out-of-pocket expenses: court filing fees, DIFC registration charges, certified translation services (Arabic to English), and courier fees for document delivery within United Arab Emirates Dubai and to the client's registered office.</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3,250.00</w:t>
            </w:r>
          </w:p>
        </w:tc>
        <w:tc>
          <w:tcPr/>
          <w:p>
            <w:pPr>
              <w:pStyle w:val="Compact"/>
              <w:jc w:val="left"/>
            </w:pPr>
            <w:r>
              <w:t xml:space="preserve">162.50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 + Expenses)</w:t>
            </w:r>
          </w:p>
        </w:tc>
        <w:tc>
          <w:tcPr/>
          <w:p>
            <w:pPr>
              <w:pStyle w:val="Compact"/>
              <w:jc w:val="right"/>
            </w:pPr>
            <w:r>
              <w:t xml:space="preserve">89,050.00 AED</w:t>
            </w:r>
          </w:p>
        </w:tc>
      </w:tr>
      <w:tr>
        <w:tc>
          <w:tcPr/>
          <w:p>
            <w:pPr>
              <w:pStyle w:val="Compact"/>
              <w:jc w:val="left"/>
            </w:pPr>
            <w:r>
              <w:t xml:space="preserve">VAT @ 5% (United Arab Emirates)</w:t>
            </w:r>
          </w:p>
        </w:tc>
        <w:tc>
          <w:tcPr/>
          <w:p>
            <w:pPr>
              <w:pStyle w:val="Compact"/>
              <w:jc w:val="right"/>
            </w:pPr>
            <w:r>
              <w:t xml:space="preserve">4,452.50 AED</w:t>
            </w:r>
          </w:p>
        </w:tc>
      </w:tr>
      <w:tr>
        <w:tc>
          <w:tcPr/>
          <w:p>
            <w:pPr>
              <w:pStyle w:val="Compact"/>
              <w:jc w:val="left"/>
            </w:pPr>
            <w:r>
              <w:t xml:space="preserve">Less: Advance Payment Received (Ref: ADV-2024-0312)</w:t>
            </w:r>
          </w:p>
        </w:tc>
        <w:tc>
          <w:tcPr/>
          <w:p>
            <w:pPr>
              <w:pStyle w:val="Compact"/>
              <w:jc w:val="right"/>
            </w:pPr>
            <w:r>
              <w:t xml:space="preserve">(25,000.00) AED</w:t>
            </w:r>
          </w:p>
        </w:tc>
      </w:tr>
      <w:tr>
        <w:tc>
          <w:tcPr/>
          <w:p>
            <w:pPr>
              <w:pStyle w:val="Compact"/>
              <w:jc w:val="left"/>
            </w:pPr>
            <w:r>
              <w:t xml:space="preserve">Balance Due on This Invoice</w:t>
            </w:r>
          </w:p>
        </w:tc>
        <w:tc>
          <w:tcPr/>
          <w:p>
            <w:pPr>
              <w:pStyle w:val="Compact"/>
              <w:jc w:val="right"/>
            </w:pPr>
            <w:r>
              <w:t xml:space="preserve">68,502.50 AED</w:t>
            </w:r>
          </w:p>
        </w:tc>
      </w:tr>
    </w:tbl>
    <w:bookmarkStart w:id="23" w:name="payment-terms-conditions"/>
    <w:p>
      <w:pPr>
        <w:pStyle w:val="Heading3"/>
      </w:pPr>
      <w:r>
        <w:t xml:space="preserve">Payment Terms &amp; Conditions</w:t>
      </w:r>
    </w:p>
    <w:p>
      <w:pPr>
        <w:pStyle w:val="FirstParagraph"/>
      </w:pPr>
      <w:r>
        <w:t xml:space="preserve">1. The total balance of</w:t>
      </w:r>
      <w:r>
        <w:t xml:space="preserve"> </w:t>
      </w:r>
      <w:r>
        <w:rPr>
          <w:bCs/>
          <w:b/>
        </w:rPr>
        <w:t xml:space="preserve">68,502.50 AED</w:t>
      </w:r>
      <w:r>
        <w:t xml:space="preserve"> </w:t>
      </w:r>
      <w:r>
        <w:t xml:space="preserve">(Sixty-Eight Thousand Five Hundred and Two Dirhams and Fifty Paisa) is due within fourteen (14) calendar days from the date of this Invoice, i.e., on or before</w:t>
      </w:r>
      <w:r>
        <w:t xml:space="preserve"> </w:t>
      </w:r>
      <w:r>
        <w:rPr>
          <w:bCs/>
          <w:b/>
        </w:rPr>
        <w:t xml:space="preserve">29 June 2025</w:t>
      </w:r>
      <w:r>
        <w:t xml:space="preserve">.</w:t>
      </w:r>
    </w:p>
    <w:p>
      <w:pPr>
        <w:pStyle w:val="BodyText"/>
      </w:pPr>
      <w:r>
        <w:t xml:space="preserve">2. Payment shall be made via bank transfer to the account details specified above. Please quote the Invoice number</w:t>
      </w:r>
      <w:r>
        <w:t xml:space="preserve"> </w:t>
      </w:r>
      <w:r>
        <w:rPr>
          <w:bCs/>
          <w:b/>
        </w:rPr>
        <w:t xml:space="preserve">INV-2024-00847</w:t>
      </w:r>
      <w:r>
        <w:t xml:space="preserve"> </w:t>
      </w:r>
      <w:r>
        <w:t xml:space="preserve">in the payment reference to ensure proper reconciliation by our accounting department in United Arab Emirates Dubai.</w:t>
      </w:r>
    </w:p>
    <w:p>
      <w:pPr>
        <w:pStyle w:val="BodyText"/>
      </w:pPr>
      <w:r>
        <w:t xml:space="preserve">3. In the event of late payment, interest shall accrue at the rate of 1.5% per month on the outstanding balance, in accordance with the terms of the retainer agreement executed between the Lawyer and the client on 12 January 2024.</w:t>
      </w:r>
    </w:p>
    <w:p>
      <w:pPr>
        <w:pStyle w:val="BodyText"/>
      </w:pPr>
      <w:r>
        <w:t xml:space="preserve">4. This Invoice is issued in compliance with the Federal Tax Authority (FTA) regulations of the United Arab Emirates and the DIFC regulatory framework governing legal practice in Dubai.</w:t>
      </w:r>
    </w:p>
    <w:p>
      <w:pPr>
        <w:pStyle w:val="BodyText"/>
      </w:pPr>
      <w:r>
        <w:t xml:space="preserve">5. All services described in this Invoice were performed by qualified Lawyers admitted to practice in the United Arab Emirates and registered with the Dubai Legal Affairs Department and the DIFC Legal Practice Committee.</w:t>
      </w:r>
    </w:p>
    <w:bookmarkEnd w:id="23"/>
    <w:p>
      <w:pPr>
        <w:pStyle w:val="BodyText"/>
      </w:pPr>
      <w:r>
        <w:rPr>
          <w:bCs/>
          <w:b/>
        </w:rPr>
        <w:t xml:space="preserve">Important Notice:</w:t>
      </w:r>
      <w:r>
        <w:t xml:space="preserve"> </w:t>
      </w:r>
      <w:r>
        <w:t xml:space="preserve">This Invoice constitutes a formal request for payment for legal services rendered by the undersigned Lawyer and firm. The services described herein were provided in accordance with the engagement letter and applicable United Arab Emirates laws, including but not limited to the UAE Civil Transactions Law, the Federal Law on Commercial Companies, and the DIFC Legal Practice Regulations. This Invoice does not constitute a guarantee of any particular legal outcome. All communications and documents related to this engagement are subject to attorney-client privilege under UAE law. For queries regarding this Invoice, please contact the billing department at invoices@almarwanlegal.ae or call +971 4 555 0192, extension 204. This document is valid only when bearing the official stamp and signature of the issuing Lawyer. Al Marwan &amp; Associates Legal LLP, United Arab Emirates Dubai.</w:t>
      </w:r>
    </w:p>
    <w:p>
      <w:pPr>
        <w:pStyle w:val="BodyText"/>
      </w:pPr>
      <w:r>
        <w:rPr>
          <w:bCs/>
          <w:b/>
        </w:rPr>
        <w:t xml:space="preserve">Adv. Fatima Al Rashidi</w:t>
      </w:r>
      <w:r>
        <w:br/>
      </w:r>
      <w:r>
        <w:t xml:space="preserve">Senior Partner &amp; Issuing Lawyer</w:t>
      </w:r>
      <w:r>
        <w:br/>
      </w:r>
      <w:r>
        <w:t xml:space="preserve">Al Marwan &amp; Associates Legal LLP</w:t>
      </w:r>
      <w:r>
        <w:br/>
      </w:r>
      <w:r>
        <w:t xml:space="preserve">United Arab Emirates Dubai</w:t>
      </w:r>
    </w:p>
    <w:p>
      <w:pPr>
        <w:pStyle w:val="BodyText"/>
      </w:pPr>
      <w:r>
        <w:rPr>
          <w:bCs/>
          <w:b/>
        </w:rPr>
        <w:t xml:space="preserve">Authorised Signatory</w:t>
      </w:r>
      <w:r>
        <w:br/>
      </w:r>
      <w:r>
        <w:t xml:space="preserve">Emirates Global Trading FZE</w:t>
      </w:r>
      <w:r>
        <w:br/>
      </w:r>
      <w:r>
        <w:t xml:space="preserve">United Arab Emirates Dubai</w:t>
      </w:r>
      <w:r>
        <w:br/>
      </w:r>
      <w:r>
        <w:t xml:space="preserve">Date: _______________</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United Arab Emirates Dubai</dc:title>
  <dc:creator/>
  <dc:language>en</dc:language>
  <cp:keywords/>
  <dcterms:created xsi:type="dcterms:W3CDTF">2026-10-10T12:42:44Z</dcterms:created>
  <dcterms:modified xsi:type="dcterms:W3CDTF">2026-10-10T12:42:44Z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