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Hargreaves &amp; Whitmore Solicitors LLP</w:t>
      </w:r>
    </w:p>
    <w:p>
      <w:pPr>
        <w:pStyle w:val="BodyText"/>
      </w:pPr>
      <w:r>
        <w:t xml:space="preserve">142 New Street, City Centre</w:t>
      </w:r>
    </w:p>
    <w:p>
      <w:pPr>
        <w:pStyle w:val="BodyText"/>
      </w:pPr>
      <w:r>
        <w:t xml:space="preserve">Birmingham, B2 4HA</w:t>
      </w:r>
    </w:p>
    <w:p>
      <w:pPr>
        <w:pStyle w:val="BodyText"/>
      </w:pPr>
      <w:r>
        <w:t xml:space="preserve">United Kingdom</w:t>
      </w:r>
    </w:p>
    <w:p>
      <w:pPr>
        <w:pStyle w:val="BodyText"/>
      </w:pPr>
      <w:r>
        <w:t xml:space="preserve">Tel: +44 (0)121 496 7832</w:t>
      </w:r>
    </w:p>
    <w:p>
      <w:pPr>
        <w:pStyle w:val="BodyText"/>
      </w:pPr>
      <w:r>
        <w:t xml:space="preserve">Email: billing@hargreaveswhitmore.co.uk</w:t>
      </w:r>
    </w:p>
    <w:p>
      <w:pPr>
        <w:pStyle w:val="BodyText"/>
      </w:pPr>
      <w:r>
        <w:t xml:space="preserve">VAT Registration: GB 987654321</w:t>
      </w:r>
    </w:p>
    <w:p>
      <w:pPr>
        <w:pStyle w:val="BodyText"/>
      </w:pPr>
      <w:r>
        <w:t xml:space="preserve">SRA Number: 604821</w:t>
      </w:r>
    </w:p>
    <w:p>
      <w:pPr>
        <w:pStyle w:val="BodyText"/>
      </w:pPr>
      <w:r>
        <w:t xml:space="preserve">INVOICE</w:t>
      </w:r>
    </w:p>
    <w:p>
      <w:pPr>
        <w:pStyle w:val="BodyText"/>
      </w:pPr>
      <w:r>
        <w:rPr>
          <w:bCs/>
          <w:b/>
        </w:rPr>
        <w:t xml:space="preserve">Invoice No:</w:t>
      </w:r>
      <w:r>
        <w:t xml:space="preserve"> </w:t>
      </w:r>
      <w:r>
        <w:t xml:space="preserve">HW-2025-04871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Case File BW-2025-0312</w:t>
      </w:r>
    </w:p>
    <w:p>
      <w:pPr>
        <w:pStyle w:val="BodyText"/>
      </w:pPr>
      <w:r>
        <w:t xml:space="preserve">LEGAL SERVICES – BIRMINGHAM, UNITED KINGDOM</w:t>
      </w:r>
    </w:p>
    <w:bookmarkStart w:id="22" w:name="billed-to"/>
    <w:p>
      <w:pPr>
        <w:pStyle w:val="Heading2"/>
      </w:pPr>
      <w:r>
        <w:t xml:space="preserve">Billed To</w:t>
      </w:r>
    </w:p>
    <w:bookmarkStart w:id="20" w:name="client-details"/>
    <w:p>
      <w:pPr>
        <w:pStyle w:val="Heading3"/>
      </w:pPr>
      <w:r>
        <w:t xml:space="preserve">Client Details</w:t>
      </w:r>
    </w:p>
    <w:p>
      <w:pPr>
        <w:pStyle w:val="FirstParagraph"/>
      </w:pPr>
      <w:r>
        <w:rPr>
          <w:bCs/>
          <w:b/>
        </w:rPr>
        <w:t xml:space="preserve">Mr. Jonathan A. Pemberton</w:t>
      </w:r>
    </w:p>
    <w:p>
      <w:pPr>
        <w:pStyle w:val="BodyText"/>
      </w:pPr>
      <w:r>
        <w:t xml:space="preserve">78 Edgbaston Crescent</w:t>
      </w:r>
    </w:p>
    <w:p>
      <w:pPr>
        <w:pStyle w:val="BodyText"/>
      </w:pPr>
      <w:r>
        <w:t xml:space="preserve">Birmingham, B15 2QT</w:t>
      </w:r>
    </w:p>
    <w:p>
      <w:pPr>
        <w:pStyle w:val="BodyText"/>
      </w:pPr>
      <w:r>
        <w:t xml:space="preserve">United Kingdom</w:t>
      </w:r>
    </w:p>
    <w:p>
      <w:pPr>
        <w:pStyle w:val="BodyText"/>
      </w:pPr>
      <w:r>
        <w:t xml:space="preserve">Email: j.pemberton@email.co.uk</w:t>
      </w:r>
    </w:p>
    <w:bookmarkEnd w:id="20"/>
    <w:bookmarkStart w:id="21" w:name="engagement-details"/>
    <w:p>
      <w:pPr>
        <w:pStyle w:val="Heading3"/>
      </w:pPr>
      <w:r>
        <w:t xml:space="preserve">Engagement Details</w:t>
      </w:r>
    </w:p>
    <w:p>
      <w:pPr>
        <w:pStyle w:val="FirstParagraph"/>
      </w:pPr>
      <w:r>
        <w:rPr>
          <w:bCs/>
          <w:b/>
        </w:rPr>
        <w:t xml:space="preserve">Practice Area:</w:t>
      </w:r>
      <w:r>
        <w:t xml:space="preserve"> </w:t>
      </w:r>
      <w:r>
        <w:t xml:space="preserve">Commercial Litigation &amp; Contract Law</w:t>
      </w:r>
    </w:p>
    <w:p>
      <w:pPr>
        <w:pStyle w:val="BodyText"/>
      </w:pPr>
      <w:r>
        <w:rPr>
          <w:bCs/>
          <w:b/>
        </w:rPr>
        <w:t xml:space="preserve">Lead Lawyer:</w:t>
      </w:r>
      <w:r>
        <w:t xml:space="preserve"> </w:t>
      </w:r>
      <w:r>
        <w:t xml:space="preserve">Sarah M. Hargreaves, Solicitor</w:t>
      </w:r>
    </w:p>
    <w:p>
      <w:pPr>
        <w:pStyle w:val="BodyText"/>
      </w:pPr>
      <w:r>
        <w:rPr>
          <w:bCs/>
          <w:b/>
        </w:rPr>
        <w:t xml:space="preserve">Supporting Lawyer:</w:t>
      </w:r>
      <w:r>
        <w:t xml:space="preserve"> </w:t>
      </w:r>
      <w:r>
        <w:t xml:space="preserve">David R. Whitmore, Associate</w:t>
      </w:r>
    </w:p>
    <w:p>
      <w:pPr>
        <w:pStyle w:val="BodyText"/>
      </w:pPr>
      <w:r>
        <w:rPr>
          <w:bCs/>
          <w:b/>
        </w:rPr>
        <w:t xml:space="preserve">Engagement Date:</w:t>
      </w:r>
      <w:r>
        <w:t xml:space="preserve"> </w:t>
      </w:r>
      <w:r>
        <w:t xml:space="preserve">03 March 2025</w:t>
      </w:r>
    </w:p>
    <w:p>
      <w:pPr>
        <w:pStyle w:val="BodyText"/>
      </w:pPr>
      <w:r>
        <w:rPr>
          <w:bCs/>
          <w:b/>
        </w:rPr>
        <w:t xml:space="preserve">Jurisdiction:</w:t>
      </w:r>
      <w:r>
        <w:t xml:space="preserve"> </w:t>
      </w:r>
      <w:r>
        <w:t xml:space="preserve">England and Wales</w:t>
      </w:r>
    </w:p>
    <w:bookmarkEnd w:id="21"/>
    <w:bookmarkEnd w:id="22"/>
    <w:bookmarkStart w:id="23"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Date</w:t>
            </w:r>
          </w:p>
        </w:tc>
      </w:tr>
      <w:tr>
        <w:tc>
          <w:tcPr/>
          <w:p>
            <w:pPr>
              <w:pStyle w:val="Compact"/>
              <w:jc w:val="left"/>
            </w:pPr>
            <w:r>
              <w:t xml:space="preserve">01</w:t>
            </w:r>
          </w:p>
        </w:tc>
        <w:tc>
          <w:tcPr/>
          <w:p>
            <w:pPr>
              <w:pStyle w:val="Compact"/>
              <w:jc w:val="left"/>
            </w:pPr>
            <w:r>
              <w:t xml:space="preserve">Initial consultation and case assessment regarding breach of commercial supply agreement with Meridian Distribution Ltd. The Lawyer reviewed all contractual documentation, correspondence, and identified potential claims under English contract law.</w:t>
            </w:r>
          </w:p>
        </w:tc>
        <w:tc>
          <w:tcPr/>
          <w:p>
            <w:pPr>
              <w:pStyle w:val="Compact"/>
              <w:jc w:val="left"/>
            </w:pPr>
            <w:r>
              <w:t xml:space="preserve">£285.00</w:t>
            </w:r>
          </w:p>
        </w:tc>
        <w:tc>
          <w:tcPr/>
          <w:p>
            <w:pPr>
              <w:pStyle w:val="Compact"/>
              <w:jc w:val="left"/>
            </w:pPr>
            <w:r>
              <w:t xml:space="preserve">3.5</w:t>
            </w:r>
          </w:p>
        </w:tc>
        <w:tc>
          <w:tcPr/>
          <w:p>
            <w:pPr>
              <w:pStyle w:val="Compact"/>
              <w:jc w:val="left"/>
            </w:pPr>
            <w:r>
              <w:t xml:space="preserve">£997.50</w:t>
            </w:r>
          </w:p>
        </w:tc>
        <w:tc>
          <w:tcPr/>
          <w:p>
            <w:pPr>
              <w:pStyle w:val="Compact"/>
              <w:jc w:val="left"/>
            </w:pPr>
            <w:r>
              <w:t xml:space="preserve">03 Mar 2025</w:t>
            </w:r>
          </w:p>
        </w:tc>
      </w:tr>
      <w:tr>
        <w:tc>
          <w:tcPr/>
          <w:p>
            <w:pPr>
              <w:pStyle w:val="Compact"/>
              <w:jc w:val="left"/>
            </w:pPr>
            <w:r>
              <w:t xml:space="preserve">02</w:t>
            </w:r>
          </w:p>
        </w:tc>
        <w:tc>
          <w:tcPr/>
          <w:p>
            <w:pPr>
              <w:pStyle w:val="Compact"/>
              <w:jc w:val="left"/>
            </w:pPr>
            <w:r>
              <w:t xml:space="preserve">Preparation and service of a formal Letter Before Action (LBA) in accordance with the Pre-Action Protocol for Commercial Disputes. The Lawyer drafted comprehensive demands for outstanding invoices totalling £142,300.00 plus interest under the Late Payment of Commercial Debts (Interest) Act 1998.</w:t>
            </w:r>
          </w:p>
        </w:tc>
        <w:tc>
          <w:tcPr/>
          <w:p>
            <w:pPr>
              <w:pStyle w:val="Compact"/>
              <w:jc w:val="left"/>
            </w:pPr>
            <w:r>
              <w:t xml:space="preserve">£285.00</w:t>
            </w:r>
          </w:p>
        </w:tc>
        <w:tc>
          <w:tcPr/>
          <w:p>
            <w:pPr>
              <w:pStyle w:val="Compact"/>
              <w:jc w:val="left"/>
            </w:pPr>
            <w:r>
              <w:t xml:space="preserve">4.0</w:t>
            </w:r>
          </w:p>
        </w:tc>
        <w:tc>
          <w:tcPr/>
          <w:p>
            <w:pPr>
              <w:pStyle w:val="Compact"/>
              <w:jc w:val="left"/>
            </w:pPr>
            <w:r>
              <w:t xml:space="preserve">£1,140.00</w:t>
            </w:r>
          </w:p>
        </w:tc>
        <w:tc>
          <w:tcPr/>
          <w:p>
            <w:pPr>
              <w:pStyle w:val="Compact"/>
              <w:jc w:val="left"/>
            </w:pPr>
            <w:r>
              <w:t xml:space="preserve">11 Mar 2025</w:t>
            </w:r>
          </w:p>
        </w:tc>
      </w:tr>
      <w:tr>
        <w:tc>
          <w:tcPr/>
          <w:p>
            <w:pPr>
              <w:pStyle w:val="Compact"/>
              <w:jc w:val="left"/>
            </w:pPr>
            <w:r>
              <w:t xml:space="preserve">03</w:t>
            </w:r>
          </w:p>
        </w:tc>
        <w:tc>
          <w:tcPr/>
          <w:p>
            <w:pPr>
              <w:pStyle w:val="Compact"/>
              <w:jc w:val="left"/>
            </w:pPr>
            <w:r>
              <w:t xml:space="preserve">Attendance at a without-prejudice settlement negotiation meeting held at our Birmingham offices. The Lawyer represented the client's interests, proposed a structured payment plan, and documented all terms discussed between the parties.</w:t>
            </w:r>
          </w:p>
        </w:tc>
        <w:tc>
          <w:tcPr/>
          <w:p>
            <w:pPr>
              <w:pStyle w:val="Compact"/>
              <w:jc w:val="left"/>
            </w:pPr>
            <w:r>
              <w:t xml:space="preserve">£285.00</w:t>
            </w:r>
          </w:p>
        </w:tc>
        <w:tc>
          <w:tcPr/>
          <w:p>
            <w:pPr>
              <w:pStyle w:val="Compact"/>
              <w:jc w:val="left"/>
            </w:pPr>
            <w:r>
              <w:t xml:space="preserve">2.5</w:t>
            </w:r>
          </w:p>
        </w:tc>
        <w:tc>
          <w:tcPr/>
          <w:p>
            <w:pPr>
              <w:pStyle w:val="Compact"/>
              <w:jc w:val="left"/>
            </w:pPr>
            <w:r>
              <w:t xml:space="preserve">£712.50</w:t>
            </w:r>
          </w:p>
        </w:tc>
        <w:tc>
          <w:tcPr/>
          <w:p>
            <w:pPr>
              <w:pStyle w:val="Compact"/>
              <w:jc w:val="left"/>
            </w:pPr>
            <w:r>
              <w:t xml:space="preserve">28 Mar 2025</w:t>
            </w:r>
          </w:p>
        </w:tc>
      </w:tr>
      <w:tr>
        <w:tc>
          <w:tcPr/>
          <w:p>
            <w:pPr>
              <w:pStyle w:val="Compact"/>
              <w:jc w:val="left"/>
            </w:pPr>
            <w:r>
              <w:t xml:space="preserve">04</w:t>
            </w:r>
          </w:p>
        </w:tc>
        <w:tc>
          <w:tcPr/>
          <w:p>
            <w:pPr>
              <w:pStyle w:val="Compact"/>
              <w:jc w:val="left"/>
            </w:pPr>
            <w:r>
              <w:t xml:space="preserve">Drafting of Particulars of Claim and supporting witness statements for issue at the Birmingham County Court. The Lawyer prepared detailed schedules of loss, including consequential damages, lost profits, and costs of mitigation. Filing and service of court documents completed.</w:t>
            </w:r>
          </w:p>
        </w:tc>
        <w:tc>
          <w:tcPr/>
          <w:p>
            <w:pPr>
              <w:pStyle w:val="Compact"/>
              <w:jc w:val="left"/>
            </w:pPr>
            <w:r>
              <w:t xml:space="preserve">£285.00</w:t>
            </w:r>
          </w:p>
        </w:tc>
        <w:tc>
          <w:tcPr/>
          <w:p>
            <w:pPr>
              <w:pStyle w:val="Compact"/>
              <w:jc w:val="left"/>
            </w:pPr>
            <w:r>
              <w:t xml:space="preserve">6.0</w:t>
            </w:r>
          </w:p>
        </w:tc>
        <w:tc>
          <w:tcPr/>
          <w:p>
            <w:pPr>
              <w:pStyle w:val="Compact"/>
              <w:jc w:val="left"/>
            </w:pPr>
            <w:r>
              <w:t xml:space="preserve">£1,710.00</w:t>
            </w:r>
          </w:p>
        </w:tc>
        <w:tc>
          <w:tcPr/>
          <w:p>
            <w:pPr>
              <w:pStyle w:val="Compact"/>
              <w:jc w:val="left"/>
            </w:pPr>
            <w:r>
              <w:t xml:space="preserve">15 Apr 2025</w:t>
            </w:r>
          </w:p>
        </w:tc>
      </w:tr>
      <w:tr>
        <w:tc>
          <w:tcPr/>
          <w:p>
            <w:pPr>
              <w:pStyle w:val="Compact"/>
              <w:jc w:val="left"/>
            </w:pPr>
            <w:r>
              <w:t xml:space="preserve">05</w:t>
            </w:r>
          </w:p>
        </w:tc>
        <w:tc>
          <w:tcPr/>
          <w:p>
            <w:pPr>
              <w:pStyle w:val="Compact"/>
              <w:jc w:val="left"/>
            </w:pPr>
            <w:r>
              <w:t xml:space="preserve">Preparation for and attendance at Case Management Conference (CMC) at Birmingham County Court. The Lawyer presented the client's position, negotiated a revised litigation timetable, and secured a stay of proceedings pending mediation.</w:t>
            </w:r>
          </w:p>
        </w:tc>
        <w:tc>
          <w:tcPr/>
          <w:p>
            <w:pPr>
              <w:pStyle w:val="Compact"/>
              <w:jc w:val="left"/>
            </w:pPr>
            <w:r>
              <w:t xml:space="preserve">£285.00</w:t>
            </w:r>
          </w:p>
        </w:tc>
        <w:tc>
          <w:tcPr/>
          <w:p>
            <w:pPr>
              <w:pStyle w:val="Compact"/>
              <w:jc w:val="left"/>
            </w:pPr>
            <w:r>
              <w:t xml:space="preserve">3.0</w:t>
            </w:r>
          </w:p>
        </w:tc>
        <w:tc>
          <w:tcPr/>
          <w:p>
            <w:pPr>
              <w:pStyle w:val="Compact"/>
              <w:jc w:val="left"/>
            </w:pPr>
            <w:r>
              <w:t xml:space="preserve">£855.00</w:t>
            </w:r>
          </w:p>
        </w:tc>
        <w:tc>
          <w:tcPr/>
          <w:p>
            <w:pPr>
              <w:pStyle w:val="Compact"/>
              <w:jc w:val="left"/>
            </w:pPr>
            <w:r>
              <w:t xml:space="preserve">02 May 2025</w:t>
            </w:r>
          </w:p>
        </w:tc>
      </w:tr>
      <w:tr>
        <w:tc>
          <w:tcPr/>
          <w:p>
            <w:pPr>
              <w:pStyle w:val="Compact"/>
              <w:jc w:val="left"/>
            </w:pPr>
            <w:r>
              <w:t xml:space="preserve">06</w:t>
            </w:r>
          </w:p>
        </w:tc>
        <w:tc>
          <w:tcPr/>
          <w:p>
            <w:pPr>
              <w:pStyle w:val="Compact"/>
              <w:jc w:val="left"/>
            </w:pPr>
            <w:r>
              <w:t xml:space="preserve">Attendance at a mediation session facilitated by the Birmingham Mediation Centre. The Lawyer advised the client in real-time, negotiated a settlement of £118,500.00 payable in three instalments, and drafted the settlement agreement for execution by both parties.</w:t>
            </w:r>
          </w:p>
        </w:tc>
        <w:tc>
          <w:tcPr/>
          <w:p>
            <w:pPr>
              <w:pStyle w:val="Compact"/>
              <w:jc w:val="left"/>
            </w:pPr>
            <w:r>
              <w:t xml:space="preserve">£285.00</w:t>
            </w:r>
          </w:p>
        </w:tc>
        <w:tc>
          <w:tcPr/>
          <w:p>
            <w:pPr>
              <w:pStyle w:val="Compact"/>
              <w:jc w:val="left"/>
            </w:pPr>
            <w:r>
              <w:t xml:space="preserve">4.5</w:t>
            </w:r>
          </w:p>
        </w:tc>
        <w:tc>
          <w:tcPr/>
          <w:p>
            <w:pPr>
              <w:pStyle w:val="Compact"/>
              <w:jc w:val="left"/>
            </w:pPr>
            <w:r>
              <w:t xml:space="preserve">£1,282.50</w:t>
            </w:r>
          </w:p>
        </w:tc>
        <w:tc>
          <w:tcPr/>
          <w:p>
            <w:pPr>
              <w:pStyle w:val="Compact"/>
              <w:jc w:val="left"/>
            </w:pPr>
            <w:r>
              <w:t xml:space="preserve">20 May 2025</w:t>
            </w:r>
          </w:p>
        </w:tc>
      </w:tr>
      <w:tr>
        <w:tc>
          <w:tcPr/>
          <w:p>
            <w:pPr>
              <w:pStyle w:val="Compact"/>
              <w:jc w:val="left"/>
            </w:pPr>
            <w:r>
              <w:t xml:space="preserve">07</w:t>
            </w:r>
          </w:p>
        </w:tc>
        <w:tc>
          <w:tcPr/>
          <w:p>
            <w:pPr>
              <w:pStyle w:val="Compact"/>
              <w:jc w:val="left"/>
            </w:pPr>
            <w:r>
              <w:t xml:space="preserve">Finalisation of the Tomlin Order, court filing, and closure of proceedings at Birmingham County Court. The Lawyer ensured all terms of the settlement were correctly reflected in the court order and provided the client with a comprehensive closing memorandum.</w:t>
            </w:r>
          </w:p>
        </w:tc>
        <w:tc>
          <w:tcPr/>
          <w:p>
            <w:pPr>
              <w:pStyle w:val="Compact"/>
              <w:jc w:val="left"/>
            </w:pPr>
            <w:r>
              <w:t xml:space="preserve">£285.00</w:t>
            </w:r>
          </w:p>
        </w:tc>
        <w:tc>
          <w:tcPr/>
          <w:p>
            <w:pPr>
              <w:pStyle w:val="Compact"/>
              <w:jc w:val="left"/>
            </w:pPr>
            <w:r>
              <w:t xml:space="preserve">2.0</w:t>
            </w:r>
          </w:p>
        </w:tc>
        <w:tc>
          <w:tcPr/>
          <w:p>
            <w:pPr>
              <w:pStyle w:val="Compact"/>
              <w:jc w:val="left"/>
            </w:pPr>
            <w:r>
              <w:t xml:space="preserve">£570.00</w:t>
            </w:r>
          </w:p>
        </w:tc>
        <w:tc>
          <w:tcPr/>
          <w:p>
            <w:pPr>
              <w:pStyle w:val="Compact"/>
              <w:jc w:val="left"/>
            </w:pPr>
            <w:r>
              <w:t xml:space="preserve">08 Jun 2025</w:t>
            </w:r>
          </w:p>
        </w:tc>
      </w:tr>
    </w:tbl>
    <w:bookmarkEnd w:id="23"/>
    <w:bookmarkStart w:id="24" w:name="disbursements-and-court-fees"/>
    <w:p>
      <w:pPr>
        <w:pStyle w:val="Heading2"/>
      </w:pPr>
      <w:r>
        <w:t xml:space="preserve">Disbursements and Court Fees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Amount (GBP)</w:t>
            </w:r>
          </w:p>
        </w:tc>
        <w:tc>
          <w:tcPr/>
          <w:p>
            <w:pPr>
              <w:pStyle w:val="Compact"/>
              <w:jc w:val="left"/>
            </w:pPr>
            <w:r>
              <w:t xml:space="preserve">Date</w:t>
            </w:r>
          </w:p>
        </w:tc>
      </w:tr>
      <w:tr>
        <w:tc>
          <w:tcPr/>
          <w:p>
            <w:pPr>
              <w:pStyle w:val="Compact"/>
              <w:jc w:val="left"/>
            </w:pPr>
            <w:r>
              <w:t xml:space="preserve">D1</w:t>
            </w:r>
          </w:p>
        </w:tc>
        <w:tc>
          <w:tcPr/>
          <w:p>
            <w:pPr>
              <w:pStyle w:val="Compact"/>
              <w:jc w:val="left"/>
            </w:pPr>
            <w:r>
              <w:t xml:space="preserve">Court issue fee – Particulars of Claim (Birmingham County Court)</w:t>
            </w:r>
          </w:p>
        </w:tc>
        <w:tc>
          <w:tcPr/>
          <w:p>
            <w:pPr>
              <w:pStyle w:val="Compact"/>
              <w:jc w:val="left"/>
            </w:pPr>
            <w:r>
              <w:t xml:space="preserve">£455.00</w:t>
            </w:r>
          </w:p>
        </w:tc>
        <w:tc>
          <w:tcPr/>
          <w:p>
            <w:pPr>
              <w:pStyle w:val="Compact"/>
              <w:jc w:val="left"/>
            </w:pPr>
            <w:r>
              <w:t xml:space="preserve">15 Apr 2025</w:t>
            </w:r>
          </w:p>
        </w:tc>
      </w:tr>
      <w:tr>
        <w:tc>
          <w:tcPr/>
          <w:p>
            <w:pPr>
              <w:pStyle w:val="Compact"/>
              <w:jc w:val="left"/>
            </w:pPr>
            <w:r>
              <w:t xml:space="preserve">D2</w:t>
            </w:r>
          </w:p>
        </w:tc>
        <w:tc>
          <w:tcPr/>
          <w:p>
            <w:pPr>
              <w:pStyle w:val="Compact"/>
              <w:jc w:val="left"/>
            </w:pPr>
            <w:r>
              <w:t xml:space="preserve">Service of court documents via HMCTS portal</w:t>
            </w:r>
          </w:p>
        </w:tc>
        <w:tc>
          <w:tcPr/>
          <w:p>
            <w:pPr>
              <w:pStyle w:val="Compact"/>
              <w:jc w:val="left"/>
            </w:pPr>
            <w:r>
              <w:t xml:space="preserve">£58.00</w:t>
            </w:r>
          </w:p>
        </w:tc>
        <w:tc>
          <w:tcPr/>
          <w:p>
            <w:pPr>
              <w:pStyle w:val="Compact"/>
              <w:jc w:val="left"/>
            </w:pPr>
            <w:r>
              <w:t xml:space="preserve">15 Apr 2025</w:t>
            </w:r>
          </w:p>
        </w:tc>
      </w:tr>
      <w:tr>
        <w:tc>
          <w:tcPr/>
          <w:p>
            <w:pPr>
              <w:pStyle w:val="Compact"/>
              <w:jc w:val="left"/>
            </w:pPr>
            <w:r>
              <w:t xml:space="preserve">D3</w:t>
            </w:r>
          </w:p>
        </w:tc>
        <w:tc>
          <w:tcPr/>
          <w:p>
            <w:pPr>
              <w:pStyle w:val="Compact"/>
              <w:jc w:val="left"/>
            </w:pPr>
            <w:r>
              <w:t xml:space="preserve">Mediation fee – Birmingham Mediation Centre (client's share)</w:t>
            </w:r>
          </w:p>
        </w:tc>
        <w:tc>
          <w:tcPr/>
          <w:p>
            <w:pPr>
              <w:pStyle w:val="Compact"/>
              <w:jc w:val="left"/>
            </w:pPr>
            <w:r>
              <w:t xml:space="preserve">£450.00</w:t>
            </w:r>
          </w:p>
        </w:tc>
        <w:tc>
          <w:tcPr/>
          <w:p>
            <w:pPr>
              <w:pStyle w:val="Compact"/>
              <w:jc w:val="left"/>
            </w:pPr>
            <w:r>
              <w:t xml:space="preserve">20 May 2025</w:t>
            </w:r>
          </w:p>
        </w:tc>
      </w:tr>
      <w:tr>
        <w:tc>
          <w:tcPr/>
          <w:p>
            <w:pPr>
              <w:pStyle w:val="Compact"/>
              <w:jc w:val="left"/>
            </w:pPr>
            <w:r>
              <w:t xml:space="preserve">D4</w:t>
            </w:r>
          </w:p>
        </w:tc>
        <w:tc>
          <w:tcPr/>
          <w:p>
            <w:pPr>
              <w:pStyle w:val="Compact"/>
              <w:jc w:val="left"/>
            </w:pPr>
            <w:r>
              <w:t xml:space="preserve">Expert witness report – Chartered Accountant (loss assessment)</w:t>
            </w:r>
          </w:p>
        </w:tc>
        <w:tc>
          <w:tcPr/>
          <w:p>
            <w:pPr>
              <w:pStyle w:val="Compact"/>
              <w:jc w:val="left"/>
            </w:pPr>
            <w:r>
              <w:t xml:space="preserve">£1,200.00</w:t>
            </w:r>
          </w:p>
        </w:tc>
        <w:tc>
          <w:tcPr/>
          <w:p>
            <w:pPr>
              <w:pStyle w:val="Compact"/>
              <w:jc w:val="left"/>
            </w:pPr>
            <w:r>
              <w:t xml:space="preserve">25 Apr 2025</w:t>
            </w:r>
          </w:p>
        </w:tc>
      </w:tr>
      <w:tr>
        <w:tc>
          <w:tcPr/>
          <w:p>
            <w:pPr>
              <w:pStyle w:val="Compact"/>
              <w:jc w:val="left"/>
            </w:pPr>
            <w:r>
              <w:t xml:space="preserve">D5</w:t>
            </w:r>
          </w:p>
        </w:tc>
        <w:tc>
          <w:tcPr/>
          <w:p>
            <w:pPr>
              <w:pStyle w:val="Compact"/>
              <w:jc w:val="left"/>
            </w:pPr>
            <w:r>
              <w:t xml:space="preserve">Court filing fee – Tomlin Order</w:t>
            </w:r>
          </w:p>
        </w:tc>
        <w:tc>
          <w:tcPr/>
          <w:p>
            <w:pPr>
              <w:pStyle w:val="Compact"/>
              <w:jc w:val="left"/>
            </w:pPr>
            <w:r>
              <w:t xml:space="preserve">£235.00</w:t>
            </w:r>
          </w:p>
        </w:tc>
        <w:tc>
          <w:tcPr/>
          <w:p>
            <w:pPr>
              <w:pStyle w:val="Compact"/>
              <w:jc w:val="left"/>
            </w:pPr>
            <w:r>
              <w:t xml:space="preserve">08 Jun 2025</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Fees (Subtotal)</w:t>
            </w:r>
          </w:p>
        </w:tc>
        <w:tc>
          <w:tcPr/>
          <w:p>
            <w:pPr>
              <w:pStyle w:val="Compact"/>
              <w:jc w:val="left"/>
            </w:pPr>
            <w:r>
              <w:t xml:space="preserve">£7,267.50</w:t>
            </w:r>
          </w:p>
        </w:tc>
      </w:tr>
      <w:tr>
        <w:tc>
          <w:tcPr/>
          <w:p>
            <w:pPr>
              <w:pStyle w:val="Compact"/>
              <w:jc w:val="left"/>
            </w:pPr>
            <w:r>
              <w:t xml:space="preserve">Disbursements (Subtotal)</w:t>
            </w:r>
          </w:p>
        </w:tc>
        <w:tc>
          <w:tcPr/>
          <w:p>
            <w:pPr>
              <w:pStyle w:val="Compact"/>
              <w:jc w:val="left"/>
            </w:pPr>
            <w:r>
              <w:t xml:space="preserve">£2,398.00</w:t>
            </w:r>
          </w:p>
        </w:tc>
      </w:tr>
      <w:tr>
        <w:tc>
          <w:tcPr/>
          <w:p>
            <w:pPr>
              <w:pStyle w:val="Compact"/>
              <w:jc w:val="left"/>
            </w:pPr>
            <w:r>
              <w:rPr>
                <w:bCs/>
                <w:b/>
              </w:rPr>
              <w:t xml:space="preserve">Subtotal</w:t>
            </w:r>
          </w:p>
        </w:tc>
        <w:tc>
          <w:tcPr/>
          <w:p>
            <w:pPr>
              <w:pStyle w:val="Compact"/>
              <w:jc w:val="left"/>
            </w:pPr>
            <w:r>
              <w:rPr>
                <w:bCs/>
                <w:b/>
              </w:rPr>
              <w:t xml:space="preserve">£9,665.50</w:t>
            </w:r>
          </w:p>
        </w:tc>
      </w:tr>
      <w:tr>
        <w:tc>
          <w:tcPr/>
          <w:p>
            <w:pPr>
              <w:pStyle w:val="Compact"/>
              <w:jc w:val="left"/>
            </w:pPr>
            <w:r>
              <w:t xml:space="preserve">VAT @ 20%</w:t>
            </w:r>
          </w:p>
        </w:tc>
        <w:tc>
          <w:tcPr/>
          <w:p>
            <w:pPr>
              <w:pStyle w:val="Compact"/>
              <w:jc w:val="left"/>
            </w:pPr>
            <w:r>
              <w:t xml:space="preserve">£1,933.10</w:t>
            </w:r>
          </w:p>
        </w:tc>
      </w:tr>
      <w:tr>
        <w:tc>
          <w:tcPr/>
          <w:p>
            <w:pPr>
              <w:pStyle w:val="Compact"/>
              <w:jc w:val="left"/>
            </w:pPr>
            <w:r>
              <w:t xml:space="preserve">TOTAL AMOUNT DUE</w:t>
            </w:r>
          </w:p>
        </w:tc>
        <w:tc>
          <w:tcPr/>
          <w:p>
            <w:pPr>
              <w:pStyle w:val="Compact"/>
              <w:jc w:val="left"/>
            </w:pPr>
            <w:r>
              <w:t xml:space="preserve">£11,598.60</w:t>
            </w:r>
          </w:p>
        </w:tc>
      </w:tr>
    </w:tbl>
    <w:bookmarkStart w:id="25" w:name="payment-instructions"/>
    <w:p>
      <w:pPr>
        <w:pStyle w:val="Heading2"/>
      </w:pPr>
      <w:r>
        <w:t xml:space="preserve">Payment Instructions</w:t>
      </w:r>
    </w:p>
    <w:p>
      <w:pPr>
        <w:pStyle w:val="FirstParagraph"/>
      </w:pPr>
      <w:r>
        <w:t xml:space="preserve">Please settle this Invoice in full by the due date of</w:t>
      </w:r>
      <w:r>
        <w:t xml:space="preserve"> </w:t>
      </w:r>
      <w:r>
        <w:rPr>
          <w:bCs/>
          <w:b/>
        </w:rPr>
        <w:t xml:space="preserve">14 July 2025</w:t>
      </w:r>
      <w:r>
        <w:t xml:space="preserve"> </w:t>
      </w:r>
      <w:r>
        <w:t xml:space="preserve">via bank transfer to the following account:</w:t>
      </w:r>
    </w:p>
    <w:p>
      <w:pPr>
        <w:pStyle w:val="BodyText"/>
      </w:pPr>
      <w:r>
        <w:rPr>
          <w:bCs/>
          <w:b/>
        </w:rPr>
        <w:t xml:space="preserve">Bank:</w:t>
      </w:r>
      <w:r>
        <w:t xml:space="preserve"> </w:t>
      </w:r>
      <w:r>
        <w:t xml:space="preserve">Barclays Bank PLC</w:t>
      </w:r>
      <w:r>
        <w:br/>
      </w:r>
      <w:r>
        <w:rPr>
          <w:bCs/>
          <w:b/>
        </w:rPr>
        <w:t xml:space="preserve">Sort Code:</w:t>
      </w:r>
      <w:r>
        <w:t xml:space="preserve"> </w:t>
      </w:r>
      <w:r>
        <w:t xml:space="preserve">20-15-88</w:t>
      </w:r>
      <w:r>
        <w:br/>
      </w:r>
      <w:r>
        <w:rPr>
          <w:bCs/>
          <w:b/>
        </w:rPr>
        <w:t xml:space="preserve">Account Number:</w:t>
      </w:r>
      <w:r>
        <w:t xml:space="preserve"> </w:t>
      </w:r>
      <w:r>
        <w:t xml:space="preserve">55678901</w:t>
      </w:r>
      <w:r>
        <w:br/>
      </w:r>
      <w:r>
        <w:rPr>
          <w:bCs/>
          <w:b/>
        </w:rPr>
        <w:t xml:space="preserve">Account Name:</w:t>
      </w:r>
      <w:r>
        <w:t xml:space="preserve"> </w:t>
      </w:r>
      <w:r>
        <w:t xml:space="preserve">Hargreaves &amp; Whitmore Solicitors LLP</w:t>
      </w:r>
      <w:r>
        <w:br/>
      </w:r>
      <w:r>
        <w:rPr>
          <w:bCs/>
          <w:b/>
        </w:rPr>
        <w:t xml:space="preserve">Reference:</w:t>
      </w:r>
      <w:r>
        <w:t xml:space="preserve"> </w:t>
      </w:r>
      <w:r>
        <w:t xml:space="preserve">HW-2025-04871 / J. Pemberton</w:t>
      </w:r>
    </w:p>
    <w:p>
      <w:pPr>
        <w:pStyle w:val="BodyText"/>
      </w:pPr>
      <w:r>
        <w:t xml:space="preserve">Payments may also be made by cheque payable to "Hargreaves &amp; Whitmore Solicitors LLP" posted to our Birmingham office address. Please note that this Invoice does not constitute a final account. A supplementary Invoice may be issued should additional legal work be required to enforce the settlement terms.</w:t>
      </w:r>
    </w:p>
    <w:bookmarkEnd w:id="25"/>
    <w:bookmarkStart w:id="26" w:name="terms-and-conditions"/>
    <w:p>
      <w:pPr>
        <w:pStyle w:val="Heading2"/>
      </w:pPr>
      <w:r>
        <w:t xml:space="preserve">Terms and Conditions</w:t>
      </w:r>
    </w:p>
    <w:p>
      <w:pPr>
        <w:pStyle w:val="FirstParagraph"/>
      </w:pPr>
      <w:r>
        <w:rPr>
          <w:bCs/>
          <w:b/>
        </w:rPr>
        <w:t xml:space="preserve">1.</w:t>
      </w:r>
      <w:r>
        <w:t xml:space="preserve"> </w:t>
      </w:r>
      <w:r>
        <w:t xml:space="preserve">This Invoice has been issued by Hargreaves &amp; Whitmore Solicitors LLP, a Limited Liability Partnership registered in England and Wales (LLP No. OC482917), with its principal office located in Birmingham, United Kingdom. The Lawyer services described herein were provided in accordance with the retainer agreement dated 03 March 2025 and the Solicitors Regulation Authority (SRA) Code of Conduct 2019.</w:t>
      </w:r>
    </w:p>
    <w:p>
      <w:pPr>
        <w:pStyle w:val="BodyText"/>
      </w:pPr>
      <w:r>
        <w:rPr>
          <w:bCs/>
          <w:b/>
        </w:rPr>
        <w:t xml:space="preserve">2.</w:t>
      </w:r>
      <w:r>
        <w:t xml:space="preserve"> </w:t>
      </w:r>
      <w:r>
        <w:t xml:space="preserve">Payment of this Invoice is due within thirty (30) calendar days of the date of issue. In the event of late payment, interest shall accrue at the rate of 8% per annum above the Bank of England base rate, in accordance with the Late Payment of Commercial Debts (Interest) Act 1998, as amended. The Lawyer reserves the right to suspend further legal work and to withdraw from the matter in the event of non-payment.</w:t>
      </w:r>
    </w:p>
    <w:p>
      <w:pPr>
        <w:pStyle w:val="BodyText"/>
      </w:pPr>
      <w:r>
        <w:rPr>
          <w:bCs/>
          <w:b/>
        </w:rPr>
        <w:t xml:space="preserve">3.</w:t>
      </w:r>
      <w:r>
        <w:t xml:space="preserve"> </w:t>
      </w:r>
      <w:r>
        <w:t xml:space="preserve">All professional fees are charged at the hourly rate of £285.00 per hour, exclusive of VAT. Disbursements are charged at cost. The Lawyer has acted in the jurisdiction of England and Wales, and all court proceedings were conducted at Birmingham County Court, situated in the city of Birmingham, United Kingdom.</w:t>
      </w:r>
    </w:p>
    <w:p>
      <w:pPr>
        <w:pStyle w:val="BodyText"/>
      </w:pPr>
      <w:r>
        <w:rPr>
          <w:bCs/>
          <w:b/>
        </w:rPr>
        <w:t xml:space="preserve">4.</w:t>
      </w:r>
      <w:r>
        <w:t xml:space="preserve"> </w:t>
      </w:r>
      <w:r>
        <w:t xml:space="preserve">This Invoice is subject to the client's right to request a detailed breakdown of time records. The client may request a copy of the time records within twenty-eight (28) days of the date of this Invoice. Any dispute regarding the charges set out in this Invoice should be raised in writing to the billing department within the same period.</w:t>
      </w:r>
    </w:p>
    <w:p>
      <w:pPr>
        <w:pStyle w:val="BodyText"/>
      </w:pPr>
      <w:r>
        <w:rPr>
          <w:bCs/>
          <w:b/>
        </w:rPr>
        <w:t xml:space="preserve">5.</w:t>
      </w:r>
      <w:r>
        <w:t xml:space="preserve"> </w:t>
      </w:r>
      <w:r>
        <w:t xml:space="preserve">The settlement achieved through the mediation process does not constitute a final resolution of all potential claims. The Lawyer advises that the client should retain all correspondence and documentation relating to this matter for a minimum of six (6) years in accordance with the SRA records retention requirements.</w:t>
      </w:r>
    </w:p>
    <w:p>
      <w:pPr>
        <w:pStyle w:val="BodyText"/>
      </w:pPr>
      <w:r>
        <w:rPr>
          <w:bCs/>
          <w:b/>
        </w:rPr>
        <w:t xml:space="preserve">6.</w:t>
      </w:r>
      <w:r>
        <w:t xml:space="preserve"> </w:t>
      </w:r>
      <w:r>
        <w:t xml:space="preserve">This Invoice and the underlying legal engagement are governed by the laws of England and Wales. Any disputes arising from this Invoice shall be subject to the exclusive jurisdiction of the courts of Birmingham, United Kingdom.</w:t>
      </w:r>
    </w:p>
    <w:bookmarkEnd w:id="26"/>
    <w:bookmarkStart w:id="27" w:name="declaration"/>
    <w:p>
      <w:pPr>
        <w:pStyle w:val="Heading2"/>
      </w:pPr>
      <w:r>
        <w:t xml:space="preserve">Declaration</w:t>
      </w:r>
    </w:p>
    <w:p>
      <w:pPr>
        <w:pStyle w:val="FirstParagraph"/>
      </w:pPr>
      <w:r>
        <w:t xml:space="preserve">I,</w:t>
      </w:r>
      <w:r>
        <w:t xml:space="preserve"> </w:t>
      </w:r>
      <w:r>
        <w:rPr>
          <w:bCs/>
          <w:b/>
        </w:rPr>
        <w:t xml:space="preserve">Sarah M. Hargreaves</w:t>
      </w:r>
      <w:r>
        <w:t xml:space="preserve">, Solicitor and Managing Partner of Hargreaves &amp; Whitmore Solicitors LLP, hereby confirm that the services detailed in this Invoice were personally supervised and that all time recorded is accurate and reflects the professional legal work undertaken on behalf of the client in Birmingham, United Kingdom. This Invoice is issued in accordance with the firm's billing policy and the requirements of the Solicitors Regulation Authority.</w:t>
      </w:r>
    </w:p>
    <w:p>
      <w:pPr>
        <w:pStyle w:val="BodyText"/>
      </w:pPr>
      <w:r>
        <w:t xml:space="preserve">Signed:</w:t>
      </w:r>
      <w:r>
        <w:t xml:space="preserve"> </w:t>
      </w:r>
      <w:r>
        <w:rPr>
          <w:iCs/>
          <w:i/>
        </w:rPr>
        <w:t xml:space="preserve">Sarah M. Hargreaves</w:t>
      </w:r>
      <w:r>
        <w:br/>
      </w:r>
      <w:r>
        <w:t xml:space="preserve">Date: 14 June 2025</w:t>
      </w:r>
      <w:r>
        <w:br/>
      </w:r>
      <w:r>
        <w:t xml:space="preserve">For and on behalf of Hargreaves &amp; Whitmore Solicitors LLP, Birmingham, United Kingdom</w:t>
      </w:r>
    </w:p>
    <w:bookmarkEnd w:id="27"/>
    <w:p>
      <w:pPr>
        <w:pStyle w:val="BodyText"/>
      </w:pPr>
      <w:r>
        <w:t xml:space="preserve">Hargreaves &amp; Whitmore Solicitors LLP | 142 New Street, Birmingham, B2 4HA, United Kingdom</w:t>
      </w:r>
      <w:r>
        <w:br/>
      </w:r>
      <w:r>
        <w:t xml:space="preserve">Registered in England and Wales as an LLP | LLP No. OC482917 | VAT No. GB 987654321 | SRA No. 604821</w:t>
      </w:r>
      <w:r>
        <w:br/>
      </w:r>
      <w:r>
        <w:t xml:space="preserve">This Invoice is a computer-generated document and does not require a signature. For queries regarding this Invoice, please contact our billing department on +44 (0)121 496 7832 or email billing@hargreaveswhitmore.co.uk.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Birmingham, United Kingdom</dc:title>
  <dc:creator/>
  <dc:language>en-GB</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