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harrington-whitfield-solicitors-llp"/>
    <w:p>
      <w:pPr>
        <w:pStyle w:val="Heading1"/>
      </w:pPr>
      <w:r>
        <w:t xml:space="preserve">HARRINGTON &amp; WHITFIELD SOLICITORS LLP</w:t>
      </w:r>
    </w:p>
    <w:p>
      <w:pPr>
        <w:pStyle w:val="FirstParagraph"/>
      </w:pPr>
      <w:r>
        <w:t xml:space="preserve">Barristers, Solicitors &amp; Legal Counsel | United Kingdom London</w:t>
      </w:r>
    </w:p>
    <w:p>
      <w:pPr>
        <w:pStyle w:val="BodyText"/>
      </w:pPr>
      <w:r>
        <w:t xml:space="preserve">14 Chancery Lane, London, WC2A 1PL, United Kingdom</w:t>
      </w:r>
    </w:p>
    <w:p>
      <w:pPr>
        <w:pStyle w:val="BodyText"/>
      </w:pPr>
      <w:r>
        <w:t xml:space="preserve">Tel: +44 (0)20 7946 0821 | Email: billing@harringtonwhitfield.co.uk</w:t>
      </w:r>
    </w:p>
    <w:p>
      <w:pPr>
        <w:pStyle w:val="BodyText"/>
      </w:pPr>
      <w:r>
        <w:t xml:space="preserve">SRA Reference: 5847291 | VAT Registration: GB 987654321</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No:</w:t>
      </w:r>
      <w:r>
        <w:t xml:space="preserve"> </w:t>
      </w:r>
      <w:r>
        <w:t xml:space="preserve">HW-2025-0347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w:t>
      </w:r>
      <w:r>
        <w:t xml:space="preserve"> </w:t>
      </w:r>
      <w:r>
        <w:t xml:space="preserve">Matter No. 2025/0892</w:t>
      </w:r>
    </w:p>
    <w:bookmarkEnd w:id="21"/>
    <w:bookmarkStart w:id="22" w:name="billed-to-client"/>
    <w:p>
      <w:pPr>
        <w:pStyle w:val="Heading3"/>
      </w:pPr>
      <w:r>
        <w:t xml:space="preserve">Billed To (Client)</w:t>
      </w:r>
    </w:p>
    <w:p>
      <w:pPr>
        <w:pStyle w:val="FirstParagraph"/>
      </w:pPr>
      <w:r>
        <w:rPr>
          <w:bCs/>
          <w:b/>
        </w:rPr>
        <w:t xml:space="preserve">Mr. Jonathan R. Ashworth</w:t>
      </w:r>
    </w:p>
    <w:p>
      <w:pPr>
        <w:pStyle w:val="BodyText"/>
      </w:pPr>
      <w:r>
        <w:t xml:space="preserve">Ashworth Holdings Limited</w:t>
      </w:r>
    </w:p>
    <w:p>
      <w:pPr>
        <w:pStyle w:val="BodyText"/>
      </w:pPr>
      <w:r>
        <w:t xml:space="preserve">270 Victoria Street, London</w:t>
      </w:r>
    </w:p>
    <w:p>
      <w:pPr>
        <w:pStyle w:val="BodyText"/>
      </w:pPr>
      <w:r>
        <w:t xml:space="preserve">SW1E 6JD, United Kingdom</w:t>
      </w:r>
    </w:p>
    <w:p>
      <w:pPr>
        <w:pStyle w:val="BodyText"/>
      </w:pPr>
      <w:r>
        <w:t xml:space="preserve">VAT No: GB 112233445</w:t>
      </w:r>
    </w:p>
    <w:bookmarkEnd w:id="22"/>
    <w:bookmarkStart w:id="23" w:name="lawyer-attorney"/>
    <w:p>
      <w:pPr>
        <w:pStyle w:val="Heading3"/>
      </w:pPr>
      <w:r>
        <w:t xml:space="preserve">Lawyer / Attorney</w:t>
      </w:r>
    </w:p>
    <w:p>
      <w:pPr>
        <w:pStyle w:val="FirstParagraph"/>
      </w:pPr>
      <w:r>
        <w:rPr>
          <w:bCs/>
          <w:b/>
        </w:rPr>
        <w:t xml:space="preserve">Ms. Eleanor C. Harrington, QC</w:t>
      </w:r>
    </w:p>
    <w:p>
      <w:pPr>
        <w:pStyle w:val="BodyText"/>
      </w:pPr>
      <w:r>
        <w:t xml:space="preserve">Senior Partner, Corporate &amp; Commercial Law</w:t>
      </w:r>
    </w:p>
    <w:p>
      <w:pPr>
        <w:pStyle w:val="BodyText"/>
      </w:pPr>
      <w:r>
        <w:t xml:space="preserve">Harrington &amp; Whitfield Solicitors LLP</w:t>
      </w:r>
    </w:p>
    <w:p>
      <w:pPr>
        <w:pStyle w:val="BodyText"/>
      </w:pPr>
      <w:r>
        <w:t xml:space="preserve">United Kingdom London</w:t>
      </w:r>
    </w:p>
    <w:bookmarkEnd w:id="23"/>
    <w:bookmarkStart w:id="25" w:name="X6cd86d02a6029322f4dc229bc55acc552045039"/>
    <w:p>
      <w:pPr>
        <w:pStyle w:val="Heading2"/>
      </w:pPr>
      <w:r>
        <w:t xml:space="preserve">Description of Professional Legal Services Rendered</w:t>
      </w:r>
    </w:p>
    <w:p>
      <w:pPr>
        <w:pStyle w:val="FirstParagraph"/>
      </w:pPr>
      <w:r>
        <w:t xml:space="preserve">The following Invoice sets out the fees and disbursements incurred by the undersigned Lawyer and their team in providing legal representation and advisory services to the Client in relation to the commercial dispute matter referenced above. All services were performed in accordance with the retainer agreement dated 3 February 2025 and in compliance with the Solicitors Regulation Authority (SRA) fee regulations applicable in the United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Initial consultation and case assessment regarding the breach of commercial supply agreement with Meridian Distribution plc. Review of all contractual documentation, correspondence, and preliminary evidence gathering conducted by the lead Lawyer.</w:t>
            </w:r>
          </w:p>
        </w:tc>
        <w:tc>
          <w:tcPr/>
          <w:p>
            <w:pPr>
              <w:pStyle w:val="Compact"/>
              <w:jc w:val="left"/>
            </w:pPr>
            <w:r>
              <w:t xml:space="preserve">05 Feb 2025</w:t>
            </w:r>
          </w:p>
        </w:tc>
        <w:tc>
          <w:tcPr/>
          <w:p>
            <w:pPr>
              <w:pStyle w:val="Compact"/>
              <w:jc w:val="left"/>
            </w:pPr>
            <w:r>
              <w:t xml:space="preserve">4.5</w:t>
            </w:r>
          </w:p>
        </w:tc>
        <w:tc>
          <w:tcPr/>
          <w:p>
            <w:pPr>
              <w:pStyle w:val="Compact"/>
              <w:jc w:val="left"/>
            </w:pPr>
            <w:r>
              <w:t xml:space="preserve">£425.00</w:t>
            </w:r>
          </w:p>
        </w:tc>
        <w:tc>
          <w:tcPr/>
          <w:p>
            <w:pPr>
              <w:pStyle w:val="Compact"/>
              <w:jc w:val="left"/>
            </w:pPr>
            <w:r>
              <w:t xml:space="preserve">£1,912.50</w:t>
            </w:r>
          </w:p>
        </w:tc>
      </w:tr>
      <w:tr>
        <w:tc>
          <w:tcPr/>
          <w:p>
            <w:pPr>
              <w:pStyle w:val="Compact"/>
              <w:jc w:val="left"/>
            </w:pPr>
            <w:r>
              <w:t xml:space="preserve">02</w:t>
            </w:r>
          </w:p>
        </w:tc>
        <w:tc>
          <w:tcPr/>
          <w:p>
            <w:pPr>
              <w:pStyle w:val="Compact"/>
              <w:jc w:val="left"/>
            </w:pPr>
            <w:r>
              <w:t xml:space="preserve">Preparation and service of a formal Letter Before Action (LBA) in accordance with the Pre-Action Protocol for Commercial Disputes. Drafting, internal review, and dispatch of the Letter to opposing counsel at the firm's offices in United Kingdom London.</w:t>
            </w:r>
          </w:p>
        </w:tc>
        <w:tc>
          <w:tcPr/>
          <w:p>
            <w:pPr>
              <w:pStyle w:val="Compact"/>
              <w:jc w:val="left"/>
            </w:pPr>
            <w:r>
              <w:t xml:space="preserve">18 Feb 2025</w:t>
            </w:r>
          </w:p>
        </w:tc>
        <w:tc>
          <w:tcPr/>
          <w:p>
            <w:pPr>
              <w:pStyle w:val="Compact"/>
              <w:jc w:val="left"/>
            </w:pPr>
            <w:r>
              <w:t xml:space="preserve">6.0</w:t>
            </w:r>
          </w:p>
        </w:tc>
        <w:tc>
          <w:tcPr/>
          <w:p>
            <w:pPr>
              <w:pStyle w:val="Compact"/>
              <w:jc w:val="left"/>
            </w:pPr>
            <w:r>
              <w:t xml:space="preserve">£425.00</w:t>
            </w:r>
          </w:p>
        </w:tc>
        <w:tc>
          <w:tcPr/>
          <w:p>
            <w:pPr>
              <w:pStyle w:val="Compact"/>
              <w:jc w:val="left"/>
            </w:pPr>
            <w:r>
              <w:t xml:space="preserve">£2,550.00</w:t>
            </w:r>
          </w:p>
        </w:tc>
      </w:tr>
      <w:tr>
        <w:tc>
          <w:tcPr/>
          <w:p>
            <w:pPr>
              <w:pStyle w:val="Compact"/>
              <w:jc w:val="left"/>
            </w:pPr>
            <w:r>
              <w:t xml:space="preserve">03</w:t>
            </w:r>
          </w:p>
        </w:tc>
        <w:tc>
          <w:tcPr/>
          <w:p>
            <w:pPr>
              <w:pStyle w:val="Compact"/>
              <w:jc w:val="left"/>
            </w:pPr>
            <w:r>
              <w:t xml:space="preserve">Attendance at a without-prejudice settlement meeting held at the offices of the opposing party's solicitors, 120 Fleet Street, London EC4A 2BE. Preparation of settlement position papers, negotiation strategy, and post-meeting client briefing memorandum.</w:t>
            </w:r>
          </w:p>
        </w:tc>
        <w:tc>
          <w:tcPr/>
          <w:p>
            <w:pPr>
              <w:pStyle w:val="Compact"/>
              <w:jc w:val="left"/>
            </w:pPr>
            <w:r>
              <w:t xml:space="preserve">12 Mar 2025</w:t>
            </w:r>
          </w:p>
        </w:tc>
        <w:tc>
          <w:tcPr/>
          <w:p>
            <w:pPr>
              <w:pStyle w:val="Compact"/>
              <w:jc w:val="left"/>
            </w:pPr>
            <w:r>
              <w:t xml:space="preserve">8.0</w:t>
            </w:r>
          </w:p>
        </w:tc>
        <w:tc>
          <w:tcPr/>
          <w:p>
            <w:pPr>
              <w:pStyle w:val="Compact"/>
              <w:jc w:val="left"/>
            </w:pPr>
            <w:r>
              <w:t xml:space="preserve">£425.00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Drafting of Particulars of Claim and supporting witness statements for filing at the Business and Property Courts of England and Wales, London. Includes three (3) witness statements, a schedule of loss, and a statement of truth. Review and finalisation by the supervising Lawyer.</w:t>
            </w:r>
          </w:p>
        </w:tc>
        <w:tc>
          <w:tcPr/>
          <w:p>
            <w:pPr>
              <w:pStyle w:val="Compact"/>
              <w:jc w:val="left"/>
            </w:pPr>
            <w:r>
              <w:t xml:space="preserve">28 Mar 2025</w:t>
            </w:r>
          </w:p>
        </w:tc>
        <w:tc>
          <w:tcPr/>
          <w:p>
            <w:pPr>
              <w:pStyle w:val="Compact"/>
              <w:jc w:val="left"/>
            </w:pPr>
            <w:r>
              <w:t xml:space="preserve">12.5</w:t>
            </w:r>
          </w:p>
        </w:tc>
        <w:tc>
          <w:tcPr/>
          <w:p>
            <w:pPr>
              <w:pStyle w:val="Compact"/>
              <w:jc w:val="left"/>
            </w:pPr>
            <w:r>
              <w:t xml:space="preserve">£425.00</w:t>
            </w:r>
          </w:p>
        </w:tc>
        <w:tc>
          <w:tcPr/>
          <w:p>
            <w:pPr>
              <w:pStyle w:val="Compact"/>
              <w:jc w:val="left"/>
            </w:pPr>
            <w:r>
              <w:t xml:space="preserve">£5,312.50</w:t>
            </w:r>
          </w:p>
        </w:tc>
      </w:tr>
      <w:tr>
        <w:tc>
          <w:tcPr/>
          <w:p>
            <w:pPr>
              <w:pStyle w:val="Compact"/>
              <w:jc w:val="left"/>
            </w:pPr>
            <w:r>
              <w:t xml:space="preserve">05</w:t>
            </w:r>
          </w:p>
        </w:tc>
        <w:tc>
          <w:tcPr/>
          <w:p>
            <w:pPr>
              <w:pStyle w:val="Compact"/>
              <w:jc w:val="left"/>
            </w:pPr>
            <w:r>
              <w:t xml:space="preserve">Pre-trial case management conference preparation. Review of disclosure bundle (approximately 4,200 pages), preparation of a chronology of events, drafting of a case management statement, and attendance at the CMC before His Honour Judge Pemberton at the Royal Courts of Justice, Strand, London WC2A 2LL.</w:t>
            </w:r>
          </w:p>
        </w:tc>
        <w:tc>
          <w:tcPr/>
          <w:p>
            <w:pPr>
              <w:pStyle w:val="Compact"/>
              <w:jc w:val="left"/>
            </w:pPr>
            <w:r>
              <w:t xml:space="preserve">09 Apr 2025</w:t>
            </w:r>
          </w:p>
        </w:tc>
        <w:tc>
          <w:tcPr/>
          <w:p>
            <w:pPr>
              <w:pStyle w:val="Compact"/>
              <w:jc w:val="left"/>
            </w:pPr>
            <w:r>
              <w:t xml:space="preserve">10.0</w:t>
            </w:r>
          </w:p>
        </w:tc>
        <w:tc>
          <w:tcPr/>
          <w:p>
            <w:pPr>
              <w:pStyle w:val="Compact"/>
              <w:jc w:val="left"/>
            </w:pPr>
            <w:r>
              <w:t xml:space="preserve">£425.00</w:t>
            </w:r>
          </w:p>
        </w:tc>
        <w:tc>
          <w:tcPr/>
          <w:p>
            <w:pPr>
              <w:pStyle w:val="Compact"/>
              <w:jc w:val="left"/>
            </w:pPr>
            <w:r>
              <w:t xml:space="preserve">£4,250.00</w:t>
            </w:r>
          </w:p>
        </w:tc>
      </w:tr>
      <w:tr>
        <w:tc>
          <w:tcPr/>
          <w:p>
            <w:pPr>
              <w:pStyle w:val="Compact"/>
              <w:jc w:val="left"/>
            </w:pPr>
            <w:r>
              <w:t xml:space="preserve">06</w:t>
            </w:r>
          </w:p>
        </w:tc>
        <w:tc>
          <w:tcPr/>
          <w:p>
            <w:pPr>
              <w:pStyle w:val="Compact"/>
              <w:jc w:val="left"/>
            </w:pPr>
            <w:r>
              <w:t xml:space="preserve">Instruction and coordination of expert witness (Chartered Accountant, Mr. David Osei) for quantification of financial losses. Includes review of expert report, preparation of cross-examination notes, and attendance at a joint expert meeting in United Kingdom London.</w:t>
            </w:r>
          </w:p>
        </w:tc>
        <w:tc>
          <w:tcPr/>
          <w:p>
            <w:pPr>
              <w:pStyle w:val="Compact"/>
              <w:jc w:val="left"/>
            </w:pPr>
            <w:r>
              <w:t xml:space="preserve">22 Apr 2025</w:t>
            </w:r>
          </w:p>
        </w:tc>
        <w:tc>
          <w:tcPr/>
          <w:p>
            <w:pPr>
              <w:pStyle w:val="Compact"/>
              <w:jc w:val="left"/>
            </w:pPr>
            <w:r>
              <w:t xml:space="preserve">5.5</w:t>
            </w:r>
          </w:p>
        </w:tc>
        <w:tc>
          <w:tcPr/>
          <w:p>
            <w:pPr>
              <w:pStyle w:val="Compact"/>
              <w:jc w:val="left"/>
            </w:pPr>
            <w:r>
              <w:t xml:space="preserve">£425.00</w:t>
            </w:r>
          </w:p>
        </w:tc>
        <w:tc>
          <w:tcPr/>
          <w:p>
            <w:pPr>
              <w:pStyle w:val="Compact"/>
              <w:jc w:val="left"/>
            </w:pPr>
            <w:r>
              <w:t xml:space="preserve">£2,337.50</w:t>
            </w:r>
          </w:p>
        </w:tc>
      </w:tr>
      <w:tr>
        <w:tc>
          <w:tcPr/>
          <w:p>
            <w:pPr>
              <w:pStyle w:val="Compact"/>
              <w:jc w:val="left"/>
            </w:pPr>
            <w:r>
              <w:t xml:space="preserve">07</w:t>
            </w:r>
          </w:p>
        </w:tc>
        <w:tc>
          <w:tcPr/>
          <w:p>
            <w:pPr>
              <w:pStyle w:val="Compact"/>
              <w:jc w:val="left"/>
            </w:pPr>
            <w:r>
              <w:t xml:space="preserve">Preparation of skeleton arguments, trial bundle, and witness order for the scheduled trial. Final review of all pleadings, evidence, and legal authorities. Attendance at a pre-trial review hearing and finalisation of trial timetable.</w:t>
            </w:r>
          </w:p>
        </w:tc>
        <w:tc>
          <w:tcPr/>
          <w:p>
            <w:pPr>
              <w:pStyle w:val="Compact"/>
              <w:jc w:val="left"/>
            </w:pPr>
            <w:r>
              <w:t xml:space="preserve">02 Jun 2025</w:t>
            </w:r>
          </w:p>
        </w:tc>
        <w:tc>
          <w:tcPr/>
          <w:p>
            <w:pPr>
              <w:pStyle w:val="Compact"/>
              <w:jc w:val="left"/>
            </w:pPr>
            <w:r>
              <w:t xml:space="preserve">9.0</w:t>
            </w:r>
          </w:p>
        </w:tc>
        <w:tc>
          <w:tcPr/>
          <w:p>
            <w:pPr>
              <w:pStyle w:val="Compact"/>
              <w:jc w:val="left"/>
            </w:pPr>
            <w:r>
              <w:t xml:space="preserve">£425.00</w:t>
            </w:r>
          </w:p>
        </w:tc>
        <w:tc>
          <w:tcPr/>
          <w:p>
            <w:pPr>
              <w:pStyle w:val="Compact"/>
              <w:jc w:val="left"/>
            </w:pPr>
            <w:r>
              <w:t xml:space="preserve">£3,825.00</w:t>
            </w:r>
          </w:p>
        </w:tc>
      </w:tr>
      <w:tr>
        <w:tc>
          <w:tcPr/>
          <w:p>
            <w:pPr>
              <w:pStyle w:val="Compact"/>
              <w:jc w:val="left"/>
            </w:pPr>
            <w:r>
              <w:t xml:space="preserve">08</w:t>
            </w:r>
          </w:p>
        </w:tc>
        <w:tc>
          <w:tcPr/>
          <w:p>
            <w:pPr>
              <w:pStyle w:val="Compact"/>
              <w:jc w:val="left"/>
            </w:pPr>
            <w:r>
              <w:t xml:space="preserve">Disbursements: Court filing fees (Particulars of Claim), expert witness fees (Mr. Osei, 40 hours at £250/hr), photocopying and binding of trial bundle (4,200 pages), courier and postage charges, and HMCTS online filing surcharge.</w:t>
            </w:r>
          </w:p>
        </w:tc>
        <w:tc>
          <w:tcPr/>
          <w:p>
            <w:pPr>
              <w:pStyle w:val="Compact"/>
              <w:jc w:val="left"/>
            </w:pPr>
            <w:r>
              <w:t xml:space="preserve">Various</w:t>
            </w:r>
          </w:p>
        </w:tc>
        <w:tc>
          <w:tcPr/>
          <w:p>
            <w:pPr>
              <w:pStyle w:val="Compact"/>
              <w:jc w:val="left"/>
            </w:pPr>
            <w:r>
              <w:t xml:space="preserve">N/A</w:t>
            </w:r>
          </w:p>
        </w:tc>
        <w:tc>
          <w:tcPr/>
          <w:p>
            <w:pPr>
              <w:pStyle w:val="Compact"/>
              <w:jc w:val="left"/>
            </w:pPr>
            <w:r>
              <w:t xml:space="preserve">N/A</w:t>
            </w:r>
          </w:p>
        </w:tc>
        <w:tc>
          <w:tcPr/>
          <w:p>
            <w:pPr>
              <w:pStyle w:val="Compact"/>
              <w:jc w:val="left"/>
            </w:pPr>
            <w:r>
              <w:t xml:space="preserve">£1,847.00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w:t>
            </w:r>
          </w:p>
        </w:tc>
      </w:tr>
      <w:tr>
        <w:tc>
          <w:tcPr/>
          <w:p>
            <w:pPr>
              <w:pStyle w:val="Compact"/>
              <w:jc w:val="left"/>
            </w:pPr>
            <w:r>
              <w:t xml:space="preserve">Professional Fees (Time Costs)</w:t>
            </w:r>
          </w:p>
        </w:tc>
        <w:tc>
          <w:tcPr/>
          <w:p>
            <w:pPr>
              <w:pStyle w:val="Compact"/>
              <w:jc w:val="right"/>
            </w:pPr>
            <w:r>
              <w:t xml:space="preserve">£23,587.50</w:t>
            </w:r>
          </w:p>
        </w:tc>
      </w:tr>
      <w:tr>
        <w:tc>
          <w:tcPr/>
          <w:p>
            <w:pPr>
              <w:pStyle w:val="Compact"/>
              <w:jc w:val="left"/>
            </w:pPr>
            <w:r>
              <w:t xml:space="preserve">Disbursements &amp; Expenses</w:t>
            </w:r>
          </w:p>
        </w:tc>
        <w:tc>
          <w:tcPr/>
          <w:p>
            <w:pPr>
              <w:pStyle w:val="Compact"/>
              <w:jc w:val="right"/>
            </w:pPr>
            <w:r>
              <w:t xml:space="preserve">£1,847.00</w:t>
            </w:r>
          </w:p>
        </w:tc>
      </w:tr>
      <w:tr>
        <w:tc>
          <w:tcPr/>
          <w:p>
            <w:pPr>
              <w:pStyle w:val="Compact"/>
              <w:jc w:val="left"/>
            </w:pPr>
            <w:r>
              <w:t xml:space="preserve">Subtotal</w:t>
            </w:r>
          </w:p>
        </w:tc>
        <w:tc>
          <w:tcPr/>
          <w:p>
            <w:pPr>
              <w:pStyle w:val="Compact"/>
              <w:jc w:val="right"/>
            </w:pPr>
            <w:r>
              <w:t xml:space="preserve">£25,434.50</w:t>
            </w:r>
          </w:p>
        </w:tc>
      </w:tr>
      <w:tr>
        <w:tc>
          <w:tcPr/>
          <w:p>
            <w:pPr>
              <w:pStyle w:val="Compact"/>
              <w:jc w:val="left"/>
            </w:pPr>
            <w:r>
              <w:t xml:space="preserve">VAT @ 20% (VAT Reg. GB 987654321)</w:t>
            </w:r>
          </w:p>
        </w:tc>
        <w:tc>
          <w:tcPr/>
          <w:p>
            <w:pPr>
              <w:pStyle w:val="Compact"/>
              <w:jc w:val="right"/>
            </w:pPr>
            <w:r>
              <w:t xml:space="preserve">£5,086.90</w:t>
            </w:r>
          </w:p>
        </w:tc>
      </w:tr>
      <w:tr>
        <w:tc>
          <w:tcPr/>
          <w:p>
            <w:pPr>
              <w:pStyle w:val="Compact"/>
              <w:jc w:val="left"/>
            </w:pPr>
            <w:r>
              <w:t xml:space="preserve">TOTAL AMOUNT DUE</w:t>
            </w:r>
          </w:p>
        </w:tc>
        <w:tc>
          <w:tcPr/>
          <w:p>
            <w:pPr>
              <w:pStyle w:val="Compact"/>
              <w:jc w:val="right"/>
            </w:pPr>
            <w:r>
              <w:t xml:space="preserve">£30,521.40</w:t>
            </w:r>
          </w:p>
        </w:tc>
      </w:tr>
    </w:tbl>
    <w:p>
      <w:pPr>
        <w:pStyle w:val="BodyText"/>
      </w:pPr>
      <w:r>
        <w:t xml:space="preserve">VAT is charged at the standard rate of 20% in accordance with the Value Added Tax Act 1994 as applicable in the United Kingdom. This Invoice is issued in accordance with the SRA Accounts Rules 2019.</w:t>
      </w:r>
    </w:p>
    <w:bookmarkStart w:id="24" w:name="payment-terms-instructions"/>
    <w:p>
      <w:pPr>
        <w:pStyle w:val="Heading3"/>
      </w:pPr>
      <w:r>
        <w:t xml:space="preserve">Payment Terms &amp; Instructions</w:t>
      </w:r>
    </w:p>
    <w:p>
      <w:pPr>
        <w:pStyle w:val="FirstParagraph"/>
      </w:pPr>
      <w:r>
        <w:t xml:space="preserve">This Invoice is payable within thirty (30) calendar days of the Invoice date, i.e., no later than</w:t>
      </w:r>
      <w:r>
        <w:t xml:space="preserve"> </w:t>
      </w:r>
      <w:r>
        <w:rPr>
          <w:bCs/>
          <w:b/>
        </w:rPr>
        <w:t xml:space="preserve">14 July 2025</w:t>
      </w:r>
      <w:r>
        <w:t xml:space="preserve">. Payment should be made by direct bank transfer to the firm's client account as follows:</w:t>
      </w:r>
    </w:p>
    <w:p>
      <w:pPr>
        <w:pStyle w:val="BodyText"/>
      </w:pPr>
      <w:r>
        <w:rPr>
          <w:bCs/>
          <w:b/>
        </w:rPr>
        <w:t xml:space="preserve">Bank:</w:t>
      </w:r>
      <w:r>
        <w:t xml:space="preserve"> </w:t>
      </w:r>
      <w:r>
        <w:t xml:space="preserve">Barclays Bank PLC</w:t>
      </w:r>
      <w:r>
        <w:br/>
      </w:r>
      <w:r>
        <w:rPr>
          <w:bCs/>
          <w:b/>
        </w:rPr>
        <w:t xml:space="preserve">Sort Code:</w:t>
      </w:r>
      <w:r>
        <w:t xml:space="preserve"> </w:t>
      </w:r>
      <w:r>
        <w:t xml:space="preserve">20-15-88</w:t>
      </w:r>
      <w:r>
        <w:br/>
      </w:r>
      <w:r>
        <w:rPr>
          <w:bCs/>
          <w:b/>
        </w:rPr>
        <w:t xml:space="preserve">Account Name:</w:t>
      </w:r>
      <w:r>
        <w:t xml:space="preserve"> </w:t>
      </w:r>
      <w:r>
        <w:t xml:space="preserve">Harrington &amp; Whitfield Solicitors LLP – Client Account</w:t>
      </w:r>
      <w:r>
        <w:br/>
      </w:r>
      <w:r>
        <w:rPr>
          <w:bCs/>
          <w:b/>
        </w:rPr>
        <w:t xml:space="preserve">Account Number:</w:t>
      </w:r>
      <w:r>
        <w:t xml:space="preserve"> </w:t>
      </w:r>
      <w:r>
        <w:t xml:space="preserve">78451290</w:t>
      </w:r>
      <w:r>
        <w:br/>
      </w:r>
      <w:r>
        <w:rPr>
          <w:bCs/>
          <w:b/>
        </w:rPr>
        <w:t xml:space="preserve">Reference:</w:t>
      </w:r>
      <w:r>
        <w:t xml:space="preserve"> </w:t>
      </w:r>
      <w:r>
        <w:t xml:space="preserve">HW-2025-0347 / Ashworth Holdings Ltd</w:t>
      </w:r>
    </w:p>
    <w:p>
      <w:pPr>
        <w:pStyle w:val="BodyText"/>
      </w:pPr>
      <w:r>
        <w:t xml:space="preserve">Please quote the Invoice number and matter reference in all correspondence and remittances. In the event of non-payment by the due date, interest may be charged at the rate of 8% per annum above the Bank of England base rate in accordance with the Late Payment of Commercial Debts (Interest) Act 1998. The firm reserves the right to suspend further legal work and to recover the costs of debt recovery, including reasonable legal fees, in the event of non-payment.</w:t>
      </w:r>
    </w:p>
    <w:bookmarkEnd w:id="24"/>
    <w:p>
      <w:pPr>
        <w:pStyle w:val="BodyText"/>
      </w:pPr>
      <w:r>
        <w:rPr>
          <w:bCs/>
          <w:b/>
        </w:rPr>
        <w:t xml:space="preserve">Important Notes:</w:t>
      </w:r>
      <w:r>
        <w:t xml:space="preserve"> </w:t>
      </w:r>
      <w:r>
        <w:t xml:space="preserve">This Invoice has been prepared and issued by Harrington &amp; Whitfield Solicitors LLP, a limited liability partnership registered in England and Wales (LLP No. OC428716), with its registered office at 14 Chancery Lane, London WC2A 1PL, United Kingdom. The Lawyer named on this Invoice, Ms. Eleanor C. Harrington, QC, is a member of the Law Society of England and Wales and is regulated by the Solicitors Regulation Authority. All professional services described herein were carried out in the capacity of a qualified Lawyer practising in the jurisdiction of England and Wales. This document constitutes a formal Invoice for the purposes of the Client's accounting records and for compliance with HM Revenue &amp; Customs (HMRC) requirements. If you have any queries regarding this Invoice or the services described, please contact the billing department at billing@harringtonwhitfield.co.uk or telephone +44 (0)20 7946 0821 during office hours (Monday to Friday, 09:00–17:30, United Kingdom London time). This Invoice is valid for a period of twelve (12) months from the date of issue.</w:t>
      </w:r>
    </w:p>
    <w:p>
      <w:pPr>
        <w:pStyle w:val="BodyText"/>
      </w:pPr>
      <w:r>
        <w:t xml:space="preserve">Harrington &amp; Whitfield Solicitors LLP | 14 Chancery Lane, London, WC2A 1PL, United Kingdom</w:t>
      </w:r>
    </w:p>
    <w:p>
      <w:pPr>
        <w:pStyle w:val="BodyText"/>
      </w:pPr>
      <w:r>
        <w:t xml:space="preserve">SRA Regulated | Law Society Member | Chambers &amp; Partners of the Middle Temple</w:t>
      </w:r>
    </w:p>
    <w:p>
      <w:pPr>
        <w:pStyle w:val="BodyText"/>
      </w:pPr>
      <w:r>
        <w:t xml:space="preserve">This Invoice was generated electronically and is valid without a physical signature. For authentication, please contact the issuing office.</w:t>
      </w:r>
    </w:p>
    <w:p>
      <w:pPr>
        <w:pStyle w:val="BodyText"/>
      </w:pPr>
      <w:r>
        <w:t xml:space="preserve">© 2025 Harrington &amp; Whitfield Solicitors LLP.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United Kingdom London</dc:title>
  <dc:creator/>
  <dc:language>en-GB</dc:language>
  <cp:keywords/>
  <dcterms:created xsi:type="dcterms:W3CDTF">2026-10-10T09:47:46Z</dcterms:created>
  <dcterms:modified xsi:type="dcterms:W3CDTF">2026-10-10T09:47:46Z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