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Legal Services — Solicitor &amp; Lawyer Fees</w:t>
      </w:r>
    </w:p>
    <w:p>
      <w:pPr>
        <w:pStyle w:val="BodyText"/>
      </w:pPr>
      <w:r>
        <w:t xml:space="preserve">Regulated by the Solicitors Regulation Authority (SRA) — United Kingdom</w:t>
      </w:r>
    </w:p>
    <w:bookmarkEnd w:id="20"/>
    <w:p>
      <w:pPr>
        <w:pStyle w:val="BodyText"/>
      </w:pPr>
      <w:r>
        <w:rPr>
          <w:bCs/>
          <w:b/>
        </w:rPr>
        <w:t xml:space="preserve">Harwood &amp; Associates Solicitors LLP</w:t>
      </w:r>
      <w:r>
        <w:br/>
      </w:r>
      <w:r>
        <w:t xml:space="preserve">142 Deansgate, Manchester, M3 2ER</w:t>
      </w:r>
      <w:r>
        <w:br/>
      </w:r>
      <w:r>
        <w:t xml:space="preserve">United Kingdom</w:t>
      </w:r>
      <w:r>
        <w:br/>
      </w:r>
      <w:r>
        <w:t xml:space="preserve">Telephone: +44 (0)161 496 0234</w:t>
      </w:r>
      <w:r>
        <w:br/>
      </w:r>
      <w:r>
        <w:t xml:space="preserve">Email: billing@harwoodassociates.co.uk</w:t>
      </w:r>
      <w:r>
        <w:br/>
      </w:r>
      <w:r>
        <w:t xml:space="preserve">SRA Firm Reference: 582917</w:t>
      </w:r>
    </w:p>
    <w:p>
      <w:pPr>
        <w:pStyle w:val="BodyText"/>
      </w:pPr>
      <w:r>
        <w:rPr>
          <w:bCs/>
          <w:b/>
        </w:rPr>
        <w:t xml:space="preserve">Invoice Reference:</w:t>
      </w:r>
      <w:r>
        <w:t xml:space="preserve"> </w:t>
      </w:r>
      <w:r>
        <w:t xml:space="preserve">HA-2025-04871</w:t>
      </w:r>
      <w:r>
        <w:br/>
      </w:r>
      <w:r>
        <w:rPr>
          <w:bCs/>
          <w:b/>
        </w:rPr>
        <w:t xml:space="preserve">Invoice Date:</w:t>
      </w:r>
      <w:r>
        <w:t xml:space="preserve"> </w:t>
      </w:r>
      <w:r>
        <w:t xml:space="preserve">14 June 2025</w:t>
      </w:r>
      <w:r>
        <w:br/>
      </w:r>
      <w:r>
        <w:rPr>
          <w:bCs/>
          <w:b/>
        </w:rPr>
        <w:t xml:space="preserve">Due Date:</w:t>
      </w:r>
      <w:r>
        <w:t xml:space="preserve"> </w:t>
      </w:r>
      <w:r>
        <w:t xml:space="preserve">14 July 2025</w:t>
      </w:r>
      <w:r>
        <w:br/>
      </w:r>
      <w:r>
        <w:rPr>
          <w:bCs/>
          <w:b/>
        </w:rPr>
        <w:t xml:space="preserve">Period Covered:</w:t>
      </w:r>
      <w:r>
        <w:t xml:space="preserve"> </w:t>
      </w:r>
      <w:r>
        <w:t xml:space="preserve">01 May 2025 – 31 May 2025</w:t>
      </w:r>
    </w:p>
    <w:p>
      <w:pPr>
        <w:pStyle w:val="BodyText"/>
      </w:pPr>
      <w:r>
        <w:rPr>
          <w:bCs/>
          <w:b/>
        </w:rPr>
        <w:t xml:space="preserve">Billed To:</w:t>
      </w:r>
      <w:r>
        <w:br/>
      </w:r>
      <w:r>
        <w:t xml:space="preserve">Mr. Jonathan R. Whitfield</w:t>
      </w:r>
      <w:r>
        <w:br/>
      </w:r>
      <w:r>
        <w:t xml:space="preserve">27 Ashworth Road, Didsbury</w:t>
      </w:r>
      <w:r>
        <w:br/>
      </w:r>
      <w:r>
        <w:t xml:space="preserve">Manchester, M20 3PL</w:t>
      </w:r>
      <w:r>
        <w:br/>
      </w:r>
      <w:r>
        <w:t xml:space="preserve">United Kingdom</w:t>
      </w:r>
      <w:r>
        <w:br/>
      </w:r>
      <w:r>
        <w:t xml:space="preserve">Client Reference: CW-2025-1192</w:t>
      </w:r>
    </w:p>
    <w:p>
      <w:pPr>
        <w:pStyle w:val="BodyText"/>
      </w:pPr>
      <w:r>
        <w:rPr>
          <w:bCs/>
          <w:b/>
        </w:rPr>
        <w:t xml:space="preserve">Attorney of Record:</w:t>
      </w:r>
      <w:r>
        <w:br/>
      </w:r>
      <w:r>
        <w:t xml:space="preserve">Ms. Eleanor C. Harwood, QC</w:t>
      </w:r>
      <w:r>
        <w:br/>
      </w:r>
      <w:r>
        <w:t xml:space="preserve">Senior Partner &amp; Lead Lawyer</w:t>
      </w:r>
      <w:r>
        <w:br/>
      </w:r>
      <w:r>
        <w:t xml:space="preserve">Harwood &amp; Associates Solicitors LLP</w:t>
      </w:r>
      <w:r>
        <w:br/>
      </w:r>
      <w:r>
        <w:t xml:space="preserve">Manchester, United Kingdom</w:t>
      </w:r>
    </w:p>
    <w:bookmarkStart w:id="22" w:name="description-of-legal-services-rendered"/>
    <w:p>
      <w:pPr>
        <w:pStyle w:val="Heading2"/>
      </w:pPr>
      <w:r>
        <w:t xml:space="preserve">Description of Legal Services Rendered</w:t>
      </w:r>
    </w:p>
    <w:p>
      <w:pPr>
        <w:pStyle w:val="FirstParagraph"/>
      </w:pPr>
      <w:r>
        <w:t xml:space="preserve">This Invoice is issued by Harwood &amp; Associates Solicitors LLP, a regulated law firm practising in Manchester, United Kingdom, in respect of professional legal services provided by our Lawyer, Ms. Eleanor C. Harwood, QC, and her supporting legal team. The services described below were rendered in connection with the commercial property dispute matter</w:t>
      </w:r>
      <w:r>
        <w:t xml:space="preserve"> </w:t>
      </w:r>
      <w:r>
        <w:rPr>
          <w:iCs/>
          <w:i/>
        </w:rPr>
        <w:t xml:space="preserve">Whitfield Holdings Ltd v. Northern Manchester Development Group plc</w:t>
      </w:r>
      <w:r>
        <w:t xml:space="preserve"> </w:t>
      </w:r>
      <w:r>
        <w:t xml:space="preserve">(Reference: CW-2025-1192), which is being heard before the Manchester County Court and, should it proceed to appeal, the Court of Appeal in London. All fees are charged in accordance with the firm's agreed terms of engagement and the Legal Aid, Sentencing and Punishment of Offenders Act 2012 as applicable to private client work in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Service</w:t>
            </w:r>
          </w:p>
        </w:tc>
        <w:tc>
          <w:tcPr/>
          <w:p>
            <w:pPr>
              <w:pStyle w:val="Compact"/>
              <w:jc w:val="left"/>
            </w:pPr>
            <w:r>
              <w:t xml:space="preserve">Time Spent</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02 May 2025</w:t>
            </w:r>
          </w:p>
        </w:tc>
        <w:tc>
          <w:tcPr/>
          <w:p>
            <w:pPr>
              <w:pStyle w:val="Compact"/>
              <w:jc w:val="left"/>
            </w:pPr>
            <w:r>
              <w:t xml:space="preserve">Initial consultation and case assessment by Lead Lawyer; review of all contract documentation, correspondence, and site inspection reports relating to the disputed commercial property at 88 Victoria Street, Manchester, M3 4AB.</w:t>
            </w:r>
          </w:p>
        </w:tc>
        <w:tc>
          <w:tcPr/>
          <w:p>
            <w:pPr>
              <w:pStyle w:val="Compact"/>
              <w:jc w:val="left"/>
            </w:pPr>
            <w:r>
              <w:t xml:space="preserve">3.5 hrs</w:t>
            </w:r>
          </w:p>
        </w:tc>
        <w:tc>
          <w:tcPr/>
          <w:p>
            <w:pPr>
              <w:pStyle w:val="Compact"/>
              <w:jc w:val="left"/>
            </w:pPr>
            <w:r>
              <w:t xml:space="preserve">320.00</w:t>
            </w:r>
          </w:p>
        </w:tc>
        <w:tc>
          <w:tcPr/>
          <w:p>
            <w:pPr>
              <w:pStyle w:val="Compact"/>
              <w:jc w:val="left"/>
            </w:pPr>
            <w:r>
              <w:t xml:space="preserve">1,120.00</w:t>
            </w:r>
          </w:p>
        </w:tc>
      </w:tr>
      <w:tr>
        <w:tc>
          <w:tcPr/>
          <w:p>
            <w:pPr>
              <w:pStyle w:val="Compact"/>
              <w:jc w:val="left"/>
            </w:pPr>
            <w:r>
              <w:t xml:space="preserve">06 May 2025</w:t>
            </w:r>
          </w:p>
        </w:tc>
        <w:tc>
          <w:tcPr/>
          <w:p>
            <w:pPr>
              <w:pStyle w:val="Compact"/>
              <w:jc w:val="left"/>
            </w:pPr>
            <w:r>
              <w:t xml:space="preserve">Preparation and filing of Particulars of Claim with Manchester County Court; drafting of supporting witness statements and expert valuation reports for submission to the court.</w:t>
            </w:r>
          </w:p>
        </w:tc>
        <w:tc>
          <w:tcPr/>
          <w:p>
            <w:pPr>
              <w:pStyle w:val="Compact"/>
              <w:jc w:val="left"/>
            </w:pPr>
            <w:r>
              <w:t xml:space="preserve">6.0 hrs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12 May 2025</w:t>
            </w:r>
          </w:p>
        </w:tc>
        <w:tc>
          <w:tcPr/>
          <w:p>
            <w:pPr>
              <w:pStyle w:val="Compact"/>
              <w:jc w:val="left"/>
            </w:pPr>
            <w:r>
              <w:t xml:space="preserve">Attendance at Pre-Action Protocol meeting at the Manchester Law Centre; negotiation of settlement terms with opposing counsel; preparation of post-meeting memorandum for client review.</w:t>
            </w:r>
          </w:p>
        </w:tc>
        <w:tc>
          <w:tcPr/>
          <w:p>
            <w:pPr>
              <w:pStyle w:val="Compact"/>
              <w:jc w:val="left"/>
            </w:pPr>
            <w:r>
              <w:t xml:space="preserve">4.5 hrs</w:t>
            </w:r>
          </w:p>
        </w:tc>
        <w:tc>
          <w:tcPr/>
          <w:p>
            <w:pPr>
              <w:pStyle w:val="Compact"/>
              <w:jc w:val="left"/>
            </w:pPr>
            <w:r>
              <w:t xml:space="preserve">320.00</w:t>
            </w:r>
          </w:p>
        </w:tc>
        <w:tc>
          <w:tcPr/>
          <w:p>
            <w:pPr>
              <w:pStyle w:val="Compact"/>
              <w:jc w:val="left"/>
            </w:pPr>
            <w:r>
              <w:t xml:space="preserve">1,440.00</w:t>
            </w:r>
          </w:p>
        </w:tc>
      </w:tr>
      <w:tr>
        <w:tc>
          <w:tcPr/>
          <w:p>
            <w:pPr>
              <w:pStyle w:val="Compact"/>
              <w:jc w:val="left"/>
            </w:pPr>
            <w:r>
              <w:t xml:space="preserve">19 May 2025</w:t>
            </w:r>
          </w:p>
        </w:tc>
        <w:tc>
          <w:tcPr/>
          <w:p>
            <w:pPr>
              <w:pStyle w:val="Compact"/>
              <w:jc w:val="left"/>
            </w:pPr>
            <w:r>
              <w:t xml:space="preserve">Review and analysis of defendant's Defence and Counterclaim; preparation of detailed legal opinion on liability and quantum; conference call with client to discuss litigation strategy and risk assessment.</w:t>
            </w:r>
          </w:p>
        </w:tc>
        <w:tc>
          <w:tcPr/>
          <w:p>
            <w:pPr>
              <w:pStyle w:val="Compact"/>
              <w:jc w:val="left"/>
            </w:pPr>
            <w:r>
              <w:t xml:space="preserve">5.0 hrs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23 May 2025</w:t>
            </w:r>
          </w:p>
        </w:tc>
        <w:tc>
          <w:tcPr/>
          <w:p>
            <w:pPr>
              <w:pStyle w:val="Compact"/>
              <w:jc w:val="left"/>
            </w:pPr>
            <w:r>
              <w:t xml:space="preserve">Attendance at Case Management Conference before His Honour Judge Thornton at Manchester County Court; presentation of case timeline, disclosure schedule, and proposed trial timetable.</w:t>
            </w:r>
          </w:p>
        </w:tc>
        <w:tc>
          <w:tcPr/>
          <w:p>
            <w:pPr>
              <w:pStyle w:val="Compact"/>
              <w:jc w:val="left"/>
            </w:pPr>
            <w:r>
              <w:t xml:space="preserve">3.0 hrs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28 May 2025</w:t>
            </w:r>
          </w:p>
        </w:tc>
        <w:tc>
          <w:tcPr/>
          <w:p>
            <w:pPr>
              <w:pStyle w:val="Compact"/>
              <w:jc w:val="left"/>
            </w:pPr>
            <w:r>
              <w:t xml:space="preserve">Preparation of disclosure bundle (1,240 pages); review of opposing party's disclosure documents; drafting of application for specific disclosure of financial records; preparation of skeleton argument for interim injunction hearing.</w:t>
            </w:r>
          </w:p>
        </w:tc>
        <w:tc>
          <w:tcPr/>
          <w:p>
            <w:pPr>
              <w:pStyle w:val="Compact"/>
              <w:jc w:val="left"/>
            </w:pPr>
            <w:r>
              <w:t xml:space="preserve">7.5 hrs</w:t>
            </w:r>
          </w:p>
        </w:tc>
        <w:tc>
          <w:tcPr/>
          <w:p>
            <w:pPr>
              <w:pStyle w:val="Compact"/>
              <w:jc w:val="left"/>
            </w:pPr>
            <w:r>
              <w:t xml:space="preserve">320.00</w:t>
            </w:r>
          </w:p>
        </w:tc>
        <w:tc>
          <w:tcPr/>
          <w:p>
            <w:pPr>
              <w:pStyle w:val="Compact"/>
              <w:jc w:val="left"/>
            </w:pPr>
            <w:r>
              <w:t xml:space="preserve">2,400.00</w:t>
            </w:r>
          </w:p>
        </w:tc>
      </w:tr>
      <w:tr>
        <w:tc>
          <w:tcPr/>
          <w:p>
            <w:pPr>
              <w:pStyle w:val="Compact"/>
              <w:jc w:val="left"/>
            </w:pPr>
            <w:r>
              <w:t xml:space="preserve">30 May 2025</w:t>
            </w:r>
          </w:p>
        </w:tc>
        <w:tc>
          <w:tcPr/>
          <w:p>
            <w:pPr>
              <w:pStyle w:val="Compact"/>
              <w:jc w:val="left"/>
            </w:pPr>
            <w:r>
              <w:t xml:space="preserve">Attendance at interim injunction hearing before Mr. Justice Caldwell at Manchester County Court; oral advocacy on behalf of the claimant; post-hearing written submissions and cost assessment.</w:t>
            </w:r>
          </w:p>
        </w:tc>
        <w:tc>
          <w:tcPr/>
          <w:p>
            <w:pPr>
              <w:pStyle w:val="Compact"/>
              <w:jc w:val="left"/>
            </w:pPr>
            <w:r>
              <w:t xml:space="preserve">5.5 hrs</w:t>
            </w:r>
          </w:p>
        </w:tc>
        <w:tc>
          <w:tcPr/>
          <w:p>
            <w:pPr>
              <w:pStyle w:val="Compact"/>
              <w:jc w:val="left"/>
            </w:pPr>
            <w:r>
              <w:t xml:space="preserve">320.00</w:t>
            </w:r>
          </w:p>
        </w:tc>
        <w:tc>
          <w:tcPr/>
          <w:p>
            <w:pPr>
              <w:pStyle w:val="Compact"/>
              <w:jc w:val="left"/>
            </w:pPr>
            <w:r>
              <w:t xml:space="preserve">1,760.00</w:t>
            </w:r>
          </w:p>
        </w:tc>
      </w:tr>
      <w:tr>
        <w:tc>
          <w:tcPr/>
          <w:p>
            <w:pPr>
              <w:pStyle w:val="Compact"/>
              <w:jc w:val="left"/>
            </w:pPr>
            <w:r>
              <w:t xml:space="preserve">31 May 2025</w:t>
            </w:r>
          </w:p>
        </w:tc>
        <w:tc>
          <w:tcPr/>
          <w:p>
            <w:pPr>
              <w:pStyle w:val="Compact"/>
              <w:jc w:val="left"/>
            </w:pPr>
            <w:r>
              <w:t xml:space="preserve">Preparation of this Invoice; compilation of monthly account; administrative correspondence and file management; preparation of next steps memorandum for the trial preparation phase.</w:t>
            </w:r>
          </w:p>
        </w:tc>
        <w:tc>
          <w:tcPr/>
          <w:p>
            <w:pPr>
              <w:pStyle w:val="Compact"/>
              <w:jc w:val="left"/>
            </w:pPr>
            <w:r>
              <w:t xml:space="preserve">1.5 hrs</w:t>
            </w:r>
          </w:p>
        </w:tc>
        <w:tc>
          <w:tcPr/>
          <w:p>
            <w:pPr>
              <w:pStyle w:val="Compact"/>
              <w:jc w:val="left"/>
            </w:pPr>
            <w:r>
              <w:t xml:space="preserve">250.00</w:t>
            </w:r>
          </w:p>
        </w:tc>
        <w:tc>
          <w:tcPr/>
          <w:p>
            <w:pPr>
              <w:pStyle w:val="Compact"/>
              <w:jc w:val="left"/>
            </w:pPr>
            <w:r>
              <w:t xml:space="preserve">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£11,575.00</w:t>
            </w:r>
          </w:p>
        </w:tc>
      </w:tr>
      <w:tr>
        <w:tc>
          <w:tcPr/>
          <w:p>
            <w:pPr>
              <w:pStyle w:val="Compact"/>
              <w:jc w:val="left"/>
            </w:pPr>
            <w:r>
              <w:t xml:space="preserve">Court Filing Fee (Particulars of Claim)</w:t>
            </w:r>
          </w:p>
        </w:tc>
        <w:tc>
          <w:tcPr/>
          <w:p>
            <w:pPr>
              <w:pStyle w:val="Compact"/>
              <w:jc w:val="left"/>
            </w:pPr>
            <w:r>
              <w:t xml:space="preserve">£535.00</w:t>
            </w:r>
          </w:p>
        </w:tc>
      </w:tr>
      <w:tr>
        <w:tc>
          <w:tcPr/>
          <w:p>
            <w:pPr>
              <w:pStyle w:val="Compact"/>
              <w:jc w:val="left"/>
            </w:pPr>
            <w:r>
              <w:t xml:space="preserve">Expert Valuation Report (Third-Party Cost)</w:t>
            </w:r>
          </w:p>
        </w:tc>
        <w:tc>
          <w:tcPr/>
          <w:p>
            <w:pPr>
              <w:pStyle w:val="Compact"/>
              <w:jc w:val="left"/>
            </w:pPr>
            <w:r>
              <w:t xml:space="preserve">£2,200.00</w:t>
            </w:r>
          </w:p>
        </w:tc>
      </w:tr>
      <w:tr>
        <w:tc>
          <w:tcPr/>
          <w:p>
            <w:pPr>
              <w:pStyle w:val="Compact"/>
              <w:jc w:val="left"/>
            </w:pPr>
            <w:r>
              <w:t xml:space="preserve">Court Hearing Fees (2 attendances)</w:t>
            </w:r>
          </w:p>
        </w:tc>
        <w:tc>
          <w:tcPr/>
          <w:p>
            <w:pPr>
              <w:pStyle w:val="Compact"/>
              <w:jc w:val="left"/>
            </w:pPr>
            <w:r>
              <w:t xml:space="preserve">£310.00</w:t>
            </w:r>
          </w:p>
        </w:tc>
      </w:tr>
      <w:tr>
        <w:tc>
          <w:tcPr/>
          <w:p>
            <w:pPr>
              <w:pStyle w:val="Compact"/>
              <w:jc w:val="left"/>
            </w:pPr>
            <w:r>
              <w:t xml:space="preserve">Postage, Printing &amp; Administration</w:t>
            </w:r>
          </w:p>
        </w:tc>
        <w:tc>
          <w:tcPr/>
          <w:p>
            <w:pPr>
              <w:pStyle w:val="Compact"/>
              <w:jc w:val="left"/>
            </w:pPr>
            <w:r>
              <w:t xml:space="preserve">£187.50</w:t>
            </w:r>
          </w:p>
        </w:tc>
      </w:tr>
      <w:tr>
        <w:tc>
          <w:tcPr/>
          <w:p>
            <w:pPr>
              <w:pStyle w:val="Compact"/>
              <w:jc w:val="left"/>
            </w:pPr>
            <w:r>
              <w:t xml:space="preserve">VAT @ 20% (where applicable)</w:t>
            </w:r>
          </w:p>
        </w:tc>
        <w:tc>
          <w:tcPr/>
          <w:p>
            <w:pPr>
              <w:pStyle w:val="Compact"/>
              <w:jc w:val="left"/>
            </w:pPr>
            <w:r>
              <w:t xml:space="preserve">£2,852.50</w:t>
            </w:r>
          </w:p>
        </w:tc>
      </w:tr>
      <w:tr>
        <w:tc>
          <w:tcPr/>
          <w:p>
            <w:pPr>
              <w:pStyle w:val="Compact"/>
              <w:jc w:val="left"/>
            </w:pPr>
            <w:r>
              <w:t xml:space="preserve">TOTAL AMOUNT DUE</w:t>
            </w:r>
          </w:p>
        </w:tc>
        <w:tc>
          <w:tcPr/>
          <w:p>
            <w:pPr>
              <w:pStyle w:val="Compact"/>
              <w:jc w:val="left"/>
            </w:pPr>
            <w:r>
              <w:t xml:space="preserve">£17,659.50</w:t>
            </w:r>
          </w:p>
        </w:tc>
      </w:tr>
    </w:tbl>
    <w:p>
      <w:pPr>
        <w:pStyle w:val="BodyText"/>
      </w:pPr>
      <w:r>
        <w:rPr>
          <w:bCs/>
          <w:b/>
        </w:rPr>
        <w:t xml:space="preserve">Payment Instructions:</w:t>
      </w:r>
      <w:r>
        <w:br/>
      </w:r>
      <w:r>
        <w:t xml:space="preserve">Please settle the total amount of</w:t>
      </w:r>
      <w:r>
        <w:t xml:space="preserve"> </w:t>
      </w:r>
      <w:r>
        <w:rPr>
          <w:bCs/>
          <w:b/>
        </w:rPr>
        <w:t xml:space="preserve">£17,659.50</w:t>
      </w:r>
      <w:r>
        <w:t xml:space="preserve"> </w:t>
      </w:r>
      <w:r>
        <w:t xml:space="preserve">by direct bank transfer within 30 calendar days of the Invoice date (i.e., no later than 14 July 2025).</w:t>
      </w:r>
      <w:r>
        <w:br/>
      </w:r>
      <w:r>
        <w:rPr>
          <w:bCs/>
          <w:b/>
        </w:rPr>
        <w:t xml:space="preserve">Bank:</w:t>
      </w:r>
      <w:r>
        <w:t xml:space="preserve"> </w:t>
      </w:r>
      <w:r>
        <w:t xml:space="preserve">Barclays Bank PLC</w:t>
      </w:r>
      <w:r>
        <w:br/>
      </w:r>
      <w:r>
        <w:rPr>
          <w:bCs/>
          <w:b/>
        </w:rPr>
        <w:t xml:space="preserve">Account Name:</w:t>
      </w:r>
      <w:r>
        <w:t xml:space="preserve"> </w:t>
      </w:r>
      <w:r>
        <w:t xml:space="preserve">Harwood &amp; Associates Solicitors LLP</w:t>
      </w:r>
      <w:r>
        <w:br/>
      </w:r>
      <w:r>
        <w:rPr>
          <w:bCs/>
          <w:b/>
        </w:rPr>
        <w:t xml:space="preserve">Sort Code:</w:t>
      </w:r>
      <w:r>
        <w:t xml:space="preserve"> </w:t>
      </w:r>
      <w:r>
        <w:t xml:space="preserve">20-45-87</w:t>
      </w:r>
      <w:r>
        <w:br/>
      </w:r>
      <w:r>
        <w:rPr>
          <w:bCs/>
          <w:b/>
        </w:rPr>
        <w:t xml:space="preserve">Account Number:</w:t>
      </w:r>
      <w:r>
        <w:t xml:space="preserve"> </w:t>
      </w:r>
      <w:r>
        <w:t xml:space="preserve">58291743</w:t>
      </w:r>
      <w:r>
        <w:br/>
      </w:r>
      <w:r>
        <w:rPr>
          <w:bCs/>
          <w:b/>
        </w:rPr>
        <w:t xml:space="preserve">Reference:</w:t>
      </w:r>
      <w:r>
        <w:t xml:space="preserve"> </w:t>
      </w:r>
      <w:r>
        <w:t xml:space="preserve">HA-2025-04871 / CW-2025-1192</w:t>
      </w:r>
      <w:r>
        <w:br/>
      </w:r>
      <w:r>
        <w:t xml:space="preserve">Please quote the Invoice reference number on all correspondence and payments. Cheques should be made payable to "Harwood &amp; Associates Solicitors LLP" and posted to our Manchester office address above.</w:t>
      </w:r>
    </w:p>
    <w:bookmarkStart w:id="21" w:name="terms-and-conditions-of-this-invoice"/>
    <w:p>
      <w:pPr>
        <w:pStyle w:val="Heading3"/>
      </w:pPr>
      <w:r>
        <w:t xml:space="preserve">Terms and Conditions of This Invoice</w:t>
      </w:r>
    </w:p>
    <w:p>
      <w:pPr>
        <w:numPr>
          <w:ilvl w:val="0"/>
          <w:numId w:val="1001"/>
        </w:numPr>
        <w:pStyle w:val="Compact"/>
      </w:pPr>
      <w:r>
        <w:t xml:space="preserve">This Invoice constitutes a formal demand for payment of professional legal fees and disbursements incurred by our Lawyer and firm in the provision of legal services in Manchester, United Kingdom. Payment is due in full within thirty (30) days of the Invoice date unless otherwise agreed in writing.</w:t>
      </w:r>
    </w:p>
    <w:p>
      <w:pPr>
        <w:numPr>
          <w:ilvl w:val="0"/>
          <w:numId w:val="1001"/>
        </w:numPr>
        <w:pStyle w:val="Compact"/>
      </w:pPr>
      <w:r>
        <w:t xml:space="preserve">Should payment not be received by the due date stated above, interest may be charged at the rate of 8% per annum above the Bank of England base rate, in accordance with the Late Payment of Commercial Debts (Interest) Act 1998, as amended, applicable throughout the United Kingdom.</w:t>
      </w:r>
    </w:p>
    <w:p>
      <w:pPr>
        <w:numPr>
          <w:ilvl w:val="0"/>
          <w:numId w:val="1001"/>
        </w:numPr>
        <w:pStyle w:val="Compact"/>
      </w:pPr>
      <w:r>
        <w:t xml:space="preserve">All fees charged by our Lawyer are subject to the firm's standard Terms of Engagement dated 01 January 2025, which were provided to the client at the inception of the matter. This Invoice does not constitute a final account; further fees will be invoiced monthly as work progresses.</w:t>
      </w:r>
    </w:p>
    <w:p>
      <w:pPr>
        <w:numPr>
          <w:ilvl w:val="0"/>
          <w:numId w:val="1001"/>
        </w:numPr>
        <w:pStyle w:val="Compact"/>
      </w:pPr>
      <w:r>
        <w:t xml:space="preserve">The firm operates from its registered office in Manchester, United Kingdom, and all legal services are governed by the laws of England and Wales. Any disputes arising from this Invoice or the underlying legal services shall be subject to the exclusive jurisdiction of the courts of Manchester, United Kingdom.</w:t>
      </w:r>
    </w:p>
    <w:p>
      <w:pPr>
        <w:numPr>
          <w:ilvl w:val="0"/>
          <w:numId w:val="1001"/>
        </w:numPr>
        <w:pStyle w:val="Compact"/>
      </w:pPr>
      <w:r>
        <w:t xml:space="preserve">Client funds held by the firm are segregated in accordance with the SRA Accounts Rules 2019. This Invoice relates solely to professional fees and disbursements and does not include any client money held in trust.</w:t>
      </w:r>
    </w:p>
    <w:p>
      <w:pPr>
        <w:numPr>
          <w:ilvl w:val="0"/>
          <w:numId w:val="1001"/>
        </w:numPr>
        <w:pStyle w:val="Compact"/>
      </w:pPr>
      <w:r>
        <w:t xml:space="preserve">The client is entitled to a copy of this Invoice and all supporting documentation upon request. The firm is committed to transparency in all billing matters and will provide a detailed breakdown of time entries upon reasonable request.</w:t>
      </w:r>
    </w:p>
    <w:p>
      <w:pPr>
        <w:numPr>
          <w:ilvl w:val="0"/>
          <w:numId w:val="1001"/>
        </w:numPr>
        <w:pStyle w:val="Compact"/>
      </w:pPr>
      <w:r>
        <w:t xml:space="preserve">By accepting this Invoice, the client acknowledges that the legal services described herein were provided in accordance with the Solicitors' Anti-Money Laundering Regulations 2017 and all applicable data protection legislation, including the UK General Data Protection Regulation (UK GDPR).</w:t>
      </w:r>
    </w:p>
    <w:bookmarkEnd w:id="21"/>
    <w:p>
      <w:pPr>
        <w:pStyle w:val="FirstParagraph"/>
      </w:pPr>
      <w:r>
        <w:t xml:space="preserve">Authorised and issued by:</w:t>
      </w:r>
      <w:r>
        <w:br/>
      </w:r>
      <w:r>
        <w:rPr>
          <w:bCs/>
          <w:b/>
        </w:rPr>
        <w:t xml:space="preserve">Ms. Eleanor C. Harwood, QC</w:t>
      </w:r>
      <w:r>
        <w:br/>
      </w:r>
      <w:r>
        <w:t xml:space="preserve">Senior Partner &amp; Lead Lawyer</w:t>
      </w:r>
      <w:r>
        <w:br/>
      </w:r>
      <w:r>
        <w:t xml:space="preserve">Harwood &amp; Associates Solicitors LLP</w:t>
      </w:r>
      <w:r>
        <w:br/>
      </w:r>
      <w:r>
        <w:t xml:space="preserve">Manchester, United Kingdom</w:t>
      </w:r>
      <w:r>
        <w:br/>
      </w:r>
      <w:r>
        <w:t xml:space="preserve">Date of Issue: 14 June 2025</w:t>
      </w:r>
    </w:p>
    <w:p>
      <w:pPr>
        <w:pStyle w:val="BodyText"/>
      </w:pPr>
      <w:r>
        <w:t xml:space="preserve">Harwood &amp; Associates Solicitors LLP — Registered in England and Wales, Company No. 07829174</w:t>
      </w:r>
      <w:r>
        <w:br/>
      </w:r>
      <w:r>
        <w:t xml:space="preserve">142 Deansgate, Manchester, M3 2ER, United Kingdom</w:t>
      </w:r>
      <w:r>
        <w:br/>
      </w:r>
      <w:r>
        <w:t xml:space="preserve">SRA Firm Reference: 582917 | VAT Registration: GB 284 7193 05</w:t>
      </w:r>
      <w:r>
        <w:br/>
      </w:r>
      <w:r>
        <w:t xml:space="preserve">This Invoice is issued in accordance with the SRA Code of Conduct for Solicitors, RELs and RFLs (2019) and the firm's internal billing policies.</w:t>
      </w:r>
      <w:r>
        <w:br/>
      </w:r>
      <w:r>
        <w:t xml:space="preserve">© 2025 Harwood &amp; Associates Solicitors LLP.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Manchester, United Kingdom</dc:title>
  <dc:creator/>
  <dc:language>en-GB</dc:language>
  <cp:keywords/>
  <dcterms:created xsi:type="dcterms:W3CDTF">2026-10-10T09:09:17Z</dcterms:created>
  <dcterms:modified xsi:type="dcterms:W3CDTF">2026-10-10T09:09:17Z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