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Houston,</w:t>
      </w:r>
      <w:r>
        <w:t xml:space="preserve"> </w:t>
      </w:r>
      <w:r>
        <w:t xml:space="preserve">United</w:t>
      </w:r>
      <w:r>
        <w:t xml:space="preserve"> </w:t>
      </w:r>
      <w:r>
        <w:t xml:space="preserve">States</w:t>
      </w:r>
    </w:p>
    <w:bookmarkStart w:id="20" w:name="invoice"/>
    <w:p>
      <w:pPr>
        <w:pStyle w:val="Heading1"/>
      </w:pPr>
      <w:r>
        <w:t xml:space="preserve">INVOICE</w:t>
      </w:r>
    </w:p>
    <w:p>
      <w:pPr>
        <w:pStyle w:val="FirstParagraph"/>
      </w:pPr>
      <w:r>
        <w:t xml:space="preserve">Legal Services Invoice — Attorney at Law — Houston, Texas, United States</w:t>
      </w:r>
    </w:p>
    <w:bookmarkEnd w:id="20"/>
    <w:bookmarkStart w:id="21" w:name="whitfield-associates-law-firm"/>
    <w:p>
      <w:pPr>
        <w:pStyle w:val="Heading3"/>
      </w:pPr>
      <w:r>
        <w:t xml:space="preserve">Whitfield &amp; Associates Law Firm</w:t>
      </w:r>
    </w:p>
    <w:p>
      <w:pPr>
        <w:pStyle w:val="FirstParagraph"/>
      </w:pPr>
      <w:r>
        <w:t xml:space="preserve">1200 Smith Street, Suite 2400</w:t>
      </w:r>
    </w:p>
    <w:p>
      <w:pPr>
        <w:pStyle w:val="BodyText"/>
      </w:pPr>
      <w:r>
        <w:t xml:space="preserve">Houston, Texas 77002</w:t>
      </w:r>
    </w:p>
    <w:p>
      <w:pPr>
        <w:pStyle w:val="BodyText"/>
      </w:pPr>
      <w:r>
        <w:t xml:space="preserve">United States</w:t>
      </w:r>
    </w:p>
    <w:p>
      <w:pPr>
        <w:pStyle w:val="BodyText"/>
      </w:pPr>
      <w:r>
        <w:t xml:space="preserve">Tel: (713) 555-0147</w:t>
      </w:r>
    </w:p>
    <w:p>
      <w:pPr>
        <w:pStyle w:val="BodyText"/>
      </w:pPr>
      <w:r>
        <w:t xml:space="preserve">Email: billing@whitfieldlaw.com</w:t>
      </w:r>
    </w:p>
    <w:p>
      <w:pPr>
        <w:pStyle w:val="BodyText"/>
      </w:pPr>
      <w:r>
        <w:t xml:space="preserve">Texas Bar No. 24018765</w:t>
      </w:r>
    </w:p>
    <w:bookmarkEnd w:id="21"/>
    <w:bookmarkStart w:id="22" w:name="billed-to"/>
    <w:p>
      <w:pPr>
        <w:pStyle w:val="Heading3"/>
      </w:pPr>
      <w:r>
        <w:t xml:space="preserve">Billed To:</w:t>
      </w:r>
    </w:p>
    <w:p>
      <w:pPr>
        <w:pStyle w:val="FirstParagraph"/>
      </w:pPr>
      <w:r>
        <w:t xml:space="preserve">Mr. Jonathan R. Caldwell</w:t>
      </w:r>
    </w:p>
    <w:p>
      <w:pPr>
        <w:pStyle w:val="BodyText"/>
      </w:pPr>
      <w:r>
        <w:t xml:space="preserve">Caldwell Industrial Holdings, LLC</w:t>
      </w:r>
    </w:p>
    <w:p>
      <w:pPr>
        <w:pStyle w:val="BodyText"/>
      </w:pPr>
      <w:r>
        <w:t xml:space="preserve">4500 Post Oak Boulevard, Suite 1800</w:t>
      </w:r>
    </w:p>
    <w:p>
      <w:pPr>
        <w:pStyle w:val="BodyText"/>
      </w:pPr>
      <w:r>
        <w:t xml:space="preserve">Houston, Texas 77056</w:t>
      </w:r>
    </w:p>
    <w:p>
      <w:pPr>
        <w:pStyle w:val="BodyText"/>
      </w:pPr>
      <w:r>
        <w:t xml:space="preserve">United States</w:t>
      </w:r>
    </w:p>
    <w:p>
      <w:pPr>
        <w:pStyle w:val="BodyText"/>
      </w:pPr>
      <w:r>
        <w:t xml:space="preserve">Client File No.: WH-2024-0892</w:t>
      </w:r>
    </w:p>
    <w:bookmarkEnd w:id="22"/>
    <w:p>
      <w:pPr>
        <w:pStyle w:val="BodyText"/>
      </w:pPr>
      <w:r>
        <w:t xml:space="preserve">Invoice Number:</w:t>
      </w:r>
      <w:r>
        <w:t xml:space="preserve"> </w:t>
      </w:r>
      <w:r>
        <w:t xml:space="preserve">INV-2024-0892-07</w:t>
      </w:r>
    </w:p>
    <w:p>
      <w:pPr>
        <w:pStyle w:val="BodyText"/>
      </w:pPr>
      <w:r>
        <w:t xml:space="preserve">Date of Issue:</w:t>
      </w:r>
      <w:r>
        <w:t xml:space="preserve"> </w:t>
      </w:r>
      <w:r>
        <w:t xml:space="preserve">June 14, 2025</w:t>
      </w:r>
    </w:p>
    <w:p>
      <w:pPr>
        <w:pStyle w:val="BodyText"/>
      </w:pPr>
      <w:r>
        <w:t xml:space="preserve">Due Date:</w:t>
      </w:r>
      <w:r>
        <w:t xml:space="preserve"> </w:t>
      </w:r>
      <w:r>
        <w:t xml:space="preserve">July 14, 2025</w:t>
      </w:r>
    </w:p>
    <w:p>
      <w:pPr>
        <w:pStyle w:val="BodyText"/>
      </w:pPr>
      <w:r>
        <w:t xml:space="preserve">Service Period:</w:t>
      </w:r>
      <w:r>
        <w:t xml:space="preserve"> </w:t>
      </w:r>
      <w:r>
        <w:t xml:space="preserve">May 1, 2025 – June 10, 2025</w:t>
      </w:r>
    </w:p>
    <w:p>
      <w:pPr>
        <w:pStyle w:val="BodyText"/>
      </w:pPr>
      <w:r>
        <w:t xml:space="preserve">Lead Lawyer:</w:t>
      </w:r>
      <w:r>
        <w:t xml:space="preserve"> </w:t>
      </w:r>
      <w:r>
        <w:t xml:space="preserve">Margaret E. Whitfield, Esq.</w:t>
      </w:r>
    </w:p>
    <w:p>
      <w:pPr>
        <w:pStyle w:val="BodyText"/>
      </w:pPr>
      <w:r>
        <w:t xml:space="preserve">Supporting Attorney:</w:t>
      </w:r>
      <w:r>
        <w:t xml:space="preserve"> </w:t>
      </w:r>
      <w:r>
        <w:t xml:space="preserve">David L. Okafor, Esq.</w:t>
      </w:r>
    </w:p>
    <w:p>
      <w:pPr>
        <w:pStyle w:val="BodyText"/>
      </w:pPr>
      <w:r>
        <w:t xml:space="preserve">Jurisdiction:</w:t>
      </w:r>
      <w:r>
        <w:t xml:space="preserve"> </w:t>
      </w:r>
      <w:r>
        <w:t xml:space="preserve">Harris County, Houston, United States</w:t>
      </w:r>
    </w:p>
    <w:p>
      <w:pPr>
        <w:pStyle w:val="BodyText"/>
      </w:pPr>
      <w:r>
        <w:t xml:space="preserve">Matter Type:</w:t>
      </w:r>
      <w:r>
        <w:t xml:space="preserve"> </w:t>
      </w:r>
      <w:r>
        <w:t xml:space="preserve">Commercial Litigation &amp; Contract Dispute</w:t>
      </w:r>
    </w:p>
    <w:bookmarkStart w:id="25" w:name="X2043f12cd657686947df6a3fd0c195b22a78f55"/>
    <w:p>
      <w:pPr>
        <w:pStyle w:val="Heading2"/>
      </w:pPr>
      <w:r>
        <w:t xml:space="preserve">Itemized Legal Services — Invoice Breakdown</w:t>
      </w:r>
    </w:p>
    <w:p>
      <w:pPr>
        <w:pStyle w:val="FirstParagraph"/>
      </w:pPr>
      <w:r>
        <w:t xml:space="preserve">The following Invoice reflects all professional services rendered by our Lawyer team at Whitfield &amp; Associates in the United States Houston metropolitan area during the billing period specified above. All charges are in accordance with the retainer agreement executed on March 15, 2025, and comply with the Texas Disciplinary Rules of Professional Conduct governing attorney fee structures in the State of Texas, United States.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Date</w:t>
            </w:r>
          </w:p>
        </w:tc>
        <w:tc>
          <w:tcPr/>
          <w:p>
            <w:pPr>
              <w:pStyle w:val="Compact"/>
              <w:jc w:val="left"/>
            </w:pPr>
            <w:r>
              <w:t xml:space="preserve">Service Description</w:t>
            </w:r>
          </w:p>
        </w:tc>
        <w:tc>
          <w:tcPr/>
          <w:p>
            <w:pPr>
              <w:pStyle w:val="Compact"/>
              <w:jc w:val="left"/>
            </w:pPr>
            <w:r>
              <w:t xml:space="preserve">Lawyer / Staff</w:t>
            </w:r>
          </w:p>
        </w:tc>
        <w:tc>
          <w:tcPr/>
          <w:p>
            <w:pPr>
              <w:pStyle w:val="Compact"/>
              <w:jc w:val="left"/>
            </w:pPr>
            <w:r>
              <w:t xml:space="preserve">Hours</w:t>
            </w:r>
          </w:p>
        </w:tc>
        <w:tc>
          <w:tcPr/>
          <w:p>
            <w:pPr>
              <w:pStyle w:val="Compact"/>
              <w:jc w:val="left"/>
            </w:pPr>
            <w:r>
              <w:t xml:space="preserve">Rate</w:t>
            </w:r>
          </w:p>
        </w:tc>
        <w:tc>
          <w:tcPr/>
          <w:p>
            <w:pPr>
              <w:pStyle w:val="Compact"/>
              <w:jc w:val="left"/>
            </w:pPr>
            <w:r>
              <w:t xml:space="preserve">Amount</w:t>
            </w:r>
          </w:p>
        </w:tc>
      </w:tr>
      <w:tr>
        <w:tc>
          <w:tcPr/>
          <w:p>
            <w:pPr>
              <w:pStyle w:val="Compact"/>
              <w:jc w:val="left"/>
            </w:pPr>
            <w:r>
              <w:t xml:space="preserve">May 02, 2025</w:t>
            </w:r>
          </w:p>
        </w:tc>
        <w:tc>
          <w:tcPr/>
          <w:p>
            <w:pPr>
              <w:pStyle w:val="Compact"/>
              <w:jc w:val="left"/>
            </w:pPr>
            <w:r>
              <w:t xml:space="preserve">Initial case strategy conference and review of disputed supply agreement; preparation of litigation roadmap for the United States Houston federal court filing.</w:t>
            </w:r>
          </w:p>
        </w:tc>
        <w:tc>
          <w:tcPr/>
          <w:p>
            <w:pPr>
              <w:pStyle w:val="Compact"/>
              <w:jc w:val="left"/>
            </w:pPr>
            <w:r>
              <w:t xml:space="preserve">M. Whitfield, Esq. (Lead Lawyer)</w:t>
            </w:r>
          </w:p>
        </w:tc>
        <w:tc>
          <w:tcPr/>
          <w:p>
            <w:pPr>
              <w:pStyle w:val="Compact"/>
              <w:jc w:val="left"/>
            </w:pPr>
            <w:r>
              <w:t xml:space="preserve">3.5</w:t>
            </w:r>
          </w:p>
        </w:tc>
        <w:tc>
          <w:tcPr/>
          <w:p>
            <w:pPr>
              <w:pStyle w:val="Compact"/>
              <w:jc w:val="left"/>
            </w:pPr>
            <w:r>
              <w:t xml:space="preserve">$450.00</w:t>
            </w:r>
          </w:p>
        </w:tc>
        <w:tc>
          <w:tcPr/>
          <w:p>
            <w:pPr>
              <w:pStyle w:val="Compact"/>
              <w:jc w:val="left"/>
            </w:pPr>
            <w:r>
              <w:t xml:space="preserve">$1,575.00</w:t>
            </w:r>
          </w:p>
        </w:tc>
      </w:tr>
      <w:tr>
        <w:tc>
          <w:tcPr/>
          <w:p>
            <w:pPr>
              <w:pStyle w:val="Compact"/>
              <w:jc w:val="left"/>
            </w:pPr>
            <w:r>
              <w:t xml:space="preserve">May 09, 2025</w:t>
            </w:r>
          </w:p>
        </w:tc>
        <w:tc>
          <w:tcPr/>
          <w:p>
            <w:pPr>
              <w:pStyle w:val="Compact"/>
              <w:jc w:val="left"/>
            </w:pPr>
            <w:r>
              <w:t xml:space="preserve">Drafting and filing of the initial complaint in the U.S. District Court for the Southern District of Texas, Houston Division; service of process coordination.</w:t>
            </w:r>
          </w:p>
        </w:tc>
        <w:tc>
          <w:tcPr/>
          <w:p>
            <w:pPr>
              <w:pStyle w:val="Compact"/>
              <w:jc w:val="left"/>
            </w:pPr>
            <w:r>
              <w:t xml:space="preserve">D. Okafor, Esq. (Associate Lawyer)</w:t>
            </w:r>
          </w:p>
        </w:tc>
        <w:tc>
          <w:tcPr/>
          <w:p>
            <w:pPr>
              <w:pStyle w:val="Compact"/>
              <w:jc w:val="left"/>
            </w:pPr>
            <w:r>
              <w:t xml:space="preserve">5.0</w:t>
            </w:r>
          </w:p>
        </w:tc>
        <w:tc>
          <w:tcPr/>
          <w:p>
            <w:pPr>
              <w:pStyle w:val="Compact"/>
              <w:jc w:val="left"/>
            </w:pPr>
            <w:r>
              <w:t xml:space="preserve">$325.00</w:t>
            </w:r>
          </w:p>
        </w:tc>
        <w:tc>
          <w:tcPr/>
          <w:p>
            <w:pPr>
              <w:pStyle w:val="Compact"/>
              <w:jc w:val="left"/>
            </w:pPr>
            <w:r>
              <w:t xml:space="preserve">$1,625.00</w:t>
            </w:r>
          </w:p>
        </w:tc>
      </w:tr>
      <w:tr>
        <w:tc>
          <w:tcPr/>
          <w:p>
            <w:pPr>
              <w:pStyle w:val="Compact"/>
              <w:jc w:val="left"/>
            </w:pPr>
            <w:r>
              <w:t xml:space="preserve">May 16, 2025</w:t>
            </w:r>
          </w:p>
        </w:tc>
        <w:tc>
          <w:tcPr/>
          <w:p>
            <w:pPr>
              <w:pStyle w:val="Compact"/>
              <w:jc w:val="left"/>
            </w:pPr>
            <w:r>
              <w:t xml:space="preserve">Discovery phase: drafting interrogatories, requests for production of documents, and third-party subpoenas related to the commercial contract dispute.</w:t>
            </w:r>
          </w:p>
        </w:tc>
        <w:tc>
          <w:tcPr/>
          <w:p>
            <w:pPr>
              <w:pStyle w:val="Compact"/>
              <w:jc w:val="left"/>
            </w:pPr>
            <w:r>
              <w:t xml:space="preserve">M. Whitfield, Esq. (Lead Lawyer)</w:t>
            </w:r>
          </w:p>
        </w:tc>
        <w:tc>
          <w:tcPr/>
          <w:p>
            <w:pPr>
              <w:pStyle w:val="Compact"/>
              <w:jc w:val="left"/>
            </w:pPr>
            <w:r>
              <w:t xml:space="preserve">4.2</w:t>
            </w:r>
          </w:p>
        </w:tc>
        <w:tc>
          <w:tcPr/>
          <w:p>
            <w:pPr>
              <w:pStyle w:val="Compact"/>
              <w:jc w:val="left"/>
            </w:pPr>
            <w:r>
              <w:t xml:space="preserve">$450.00</w:t>
            </w:r>
          </w:p>
        </w:tc>
        <w:tc>
          <w:tcPr/>
          <w:p>
            <w:pPr>
              <w:pStyle w:val="Compact"/>
              <w:jc w:val="left"/>
            </w:pPr>
            <w:r>
              <w:t xml:space="preserve">$1,890.00</w:t>
            </w:r>
          </w:p>
        </w:tc>
      </w:tr>
      <w:tr>
        <w:tc>
          <w:tcPr/>
          <w:p>
            <w:pPr>
              <w:pStyle w:val="Compact"/>
              <w:jc w:val="left"/>
            </w:pPr>
            <w:r>
              <w:t xml:space="preserve">May 23, 2025</w:t>
            </w:r>
          </w:p>
        </w:tc>
        <w:tc>
          <w:tcPr/>
          <w:p>
            <w:pPr>
              <w:pStyle w:val="Compact"/>
              <w:jc w:val="left"/>
            </w:pPr>
            <w:r>
              <w:t xml:space="preserve">Deposition preparation and attendance; cross-examination of opposing party’s principal witness at the deposition held in Houston, Texas, United States.</w:t>
            </w:r>
          </w:p>
        </w:tc>
        <w:tc>
          <w:tcPr/>
          <w:p>
            <w:pPr>
              <w:pStyle w:val="Compact"/>
              <w:jc w:val="left"/>
            </w:pPr>
            <w:r>
              <w:t xml:space="preserve">M. Whitfield, Esq. (Lead Lawyer)</w:t>
            </w:r>
          </w:p>
        </w:tc>
        <w:tc>
          <w:tcPr/>
          <w:p>
            <w:pPr>
              <w:pStyle w:val="Compact"/>
              <w:jc w:val="left"/>
            </w:pPr>
            <w:r>
              <w:t xml:space="preserve">6.0</w:t>
            </w:r>
          </w:p>
        </w:tc>
        <w:tc>
          <w:tcPr/>
          <w:p>
            <w:pPr>
              <w:pStyle w:val="Compact"/>
              <w:jc w:val="left"/>
            </w:pPr>
            <w:r>
              <w:t xml:space="preserve">$450.00</w:t>
            </w:r>
          </w:p>
        </w:tc>
        <w:tc>
          <w:tcPr/>
          <w:p>
            <w:pPr>
              <w:pStyle w:val="Compact"/>
              <w:jc w:val="left"/>
            </w:pPr>
            <w:r>
              <w:t xml:space="preserve">$2,700.00</w:t>
            </w:r>
          </w:p>
        </w:tc>
      </w:tr>
      <w:tr>
        <w:tc>
          <w:tcPr/>
          <w:p>
            <w:pPr>
              <w:pStyle w:val="Compact"/>
              <w:jc w:val="left"/>
            </w:pPr>
            <w:r>
              <w:t xml:space="preserve">May 30, 2025</w:t>
            </w:r>
          </w:p>
        </w:tc>
        <w:tc>
          <w:tcPr/>
          <w:p>
            <w:pPr>
              <w:pStyle w:val="Compact"/>
              <w:jc w:val="left"/>
            </w:pPr>
            <w:r>
              <w:t xml:space="preserve">Legal research and memorandum on applicable Texas commercial code provisions and federal contract law precedents relevant to the matter.</w:t>
            </w:r>
          </w:p>
        </w:tc>
        <w:tc>
          <w:tcPr/>
          <w:p>
            <w:pPr>
              <w:pStyle w:val="Compact"/>
              <w:jc w:val="left"/>
            </w:pPr>
            <w:r>
              <w:t xml:space="preserve">D. Okafor, Esq. (Associate Lawyer)</w:t>
            </w:r>
          </w:p>
        </w:tc>
        <w:tc>
          <w:tcPr/>
          <w:p>
            <w:pPr>
              <w:pStyle w:val="Compact"/>
              <w:jc w:val="left"/>
            </w:pPr>
            <w:r>
              <w:t xml:space="preserve">3.8</w:t>
            </w:r>
          </w:p>
        </w:tc>
        <w:tc>
          <w:tcPr/>
          <w:p>
            <w:pPr>
              <w:pStyle w:val="Compact"/>
              <w:jc w:val="left"/>
            </w:pPr>
            <w:r>
              <w:t xml:space="preserve">$325.00</w:t>
            </w:r>
          </w:p>
        </w:tc>
        <w:tc>
          <w:tcPr/>
          <w:p>
            <w:pPr>
              <w:pStyle w:val="Compact"/>
              <w:jc w:val="left"/>
            </w:pPr>
            <w:r>
              <w:t xml:space="preserve">$1,235.00</w:t>
            </w:r>
          </w:p>
        </w:tc>
      </w:tr>
      <w:tr>
        <w:tc>
          <w:tcPr/>
          <w:p>
            <w:pPr>
              <w:pStyle w:val="Compact"/>
              <w:jc w:val="left"/>
            </w:pPr>
            <w:r>
              <w:t xml:space="preserve">Jun 05, 2025</w:t>
            </w:r>
          </w:p>
        </w:tc>
        <w:tc>
          <w:tcPr/>
          <w:p>
            <w:pPr>
              <w:pStyle w:val="Compact"/>
              <w:jc w:val="left"/>
            </w:pPr>
            <w:r>
              <w:t xml:space="preserve">Motion practice: drafting and filing Motion to Compel Discovery; attending the hearing before the Honorable Judge in the Houston federal courthouse.</w:t>
            </w:r>
          </w:p>
        </w:tc>
        <w:tc>
          <w:tcPr/>
          <w:p>
            <w:pPr>
              <w:pStyle w:val="Compact"/>
              <w:jc w:val="left"/>
            </w:pPr>
            <w:r>
              <w:t xml:space="preserve">M. Whitfield, Esq. (Lead Lawyer)</w:t>
            </w:r>
          </w:p>
        </w:tc>
        <w:tc>
          <w:tcPr/>
          <w:p>
            <w:pPr>
              <w:pStyle w:val="Compact"/>
              <w:jc w:val="left"/>
            </w:pPr>
            <w:r>
              <w:t xml:space="preserve">4.5</w:t>
            </w:r>
          </w:p>
        </w:tc>
        <w:tc>
          <w:tcPr/>
          <w:p>
            <w:pPr>
              <w:pStyle w:val="Compact"/>
              <w:jc w:val="left"/>
            </w:pPr>
            <w:r>
              <w:t xml:space="preserve">$450.00</w:t>
            </w:r>
          </w:p>
        </w:tc>
        <w:tc>
          <w:tcPr/>
          <w:p>
            <w:pPr>
              <w:pStyle w:val="Compact"/>
              <w:jc w:val="left"/>
            </w:pPr>
            <w:r>
              <w:t xml:space="preserve">$2,025.00</w:t>
            </w:r>
          </w:p>
        </w:tc>
      </w:tr>
      <w:tr>
        <w:tc>
          <w:tcPr/>
          <w:p>
            <w:pPr>
              <w:pStyle w:val="Compact"/>
              <w:jc w:val="left"/>
            </w:pPr>
            <w:r>
              <w:t xml:space="preserve">Jun 08, 2025</w:t>
            </w:r>
          </w:p>
        </w:tc>
        <w:tc>
          <w:tcPr/>
          <w:p>
            <w:pPr>
              <w:pStyle w:val="Compact"/>
              <w:jc w:val="left"/>
            </w:pPr>
            <w:r>
              <w:t xml:space="preserve">Client consultation and status update; review of opposing party’s responsive discovery; preparation of settlement demand letter.</w:t>
            </w:r>
          </w:p>
        </w:tc>
        <w:tc>
          <w:tcPr/>
          <w:p>
            <w:pPr>
              <w:pStyle w:val="Compact"/>
              <w:jc w:val="left"/>
            </w:pPr>
            <w:r>
              <w:t xml:space="preserve">M. Whitfield, Esq. (Lead Lawyer)</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w:t>
            </w:r>
          </w:p>
        </w:tc>
      </w:tr>
      <w:tr>
        <w:tc>
          <w:tcPr/>
          <w:p>
            <w:pPr>
              <w:pStyle w:val="Compact"/>
              <w:jc w:val="left"/>
            </w:pPr>
            <w:r>
              <w:t xml:space="preserve">Jun 10, 2025</w:t>
            </w:r>
          </w:p>
        </w:tc>
        <w:tc>
          <w:tcPr/>
          <w:p>
            <w:pPr>
              <w:pStyle w:val="Compact"/>
              <w:jc w:val="left"/>
            </w:pPr>
            <w:r>
              <w:t xml:space="preserve">Paralegal support: organizing case file, managing document production database, and preparing exhibits for the upcoming mediation session in Houston, United States.</w:t>
            </w:r>
          </w:p>
        </w:tc>
        <w:tc>
          <w:tcPr/>
          <w:p>
            <w:pPr>
              <w:pStyle w:val="Compact"/>
              <w:jc w:val="left"/>
            </w:pPr>
            <w:r>
              <w:t xml:space="preserve">S. Ramirez (Paralegal)</w:t>
            </w:r>
          </w:p>
        </w:tc>
        <w:tc>
          <w:tcPr/>
          <w:p>
            <w:pPr>
              <w:pStyle w:val="Compact"/>
              <w:jc w:val="left"/>
            </w:pPr>
            <w:r>
              <w:t xml:space="preserve">7.5</w:t>
            </w:r>
          </w:p>
        </w:tc>
        <w:tc>
          <w:tcPr/>
          <w:p>
            <w:pPr>
              <w:pStyle w:val="Compact"/>
              <w:jc w:val="left"/>
            </w:pPr>
            <w:r>
              <w:t xml:space="preserve">$125.00</w:t>
            </w:r>
          </w:p>
        </w:tc>
        <w:tc>
          <w:tcPr/>
          <w:p>
            <w:pPr>
              <w:pStyle w:val="Compact"/>
              <w:jc w:val="left"/>
            </w:pPr>
            <w:r>
              <w:t xml:space="preserve">$937.50</w:t>
            </w:r>
          </w:p>
        </w:tc>
      </w:tr>
    </w:tbl>
    <w:p>
      <w:pPr>
        <w:pStyle w:val="BodyText"/>
      </w:pPr>
      <w:r>
        <w:rPr>
          <w:bCs/>
          <w:b/>
        </w:rPr>
        <w:t xml:space="preserve">Subtotal (Professional Legal Fees):</w:t>
      </w:r>
      <w:r>
        <w:t xml:space="preserve"> </w:t>
      </w:r>
      <w:r>
        <w:t xml:space="preserve">$12,887.50</w:t>
      </w:r>
    </w:p>
    <w:p>
      <w:pPr>
        <w:pStyle w:val="BodyText"/>
      </w:pPr>
      <w:r>
        <w:rPr>
          <w:bCs/>
          <w:b/>
        </w:rPr>
        <w:t xml:space="preserve">Court Filing Fees &amp; Service of Process (reimbursable):</w:t>
      </w:r>
      <w:r>
        <w:t xml:space="preserve"> </w:t>
      </w:r>
      <w:r>
        <w:t xml:space="preserve">$435.00</w:t>
      </w:r>
    </w:p>
    <w:p>
      <w:pPr>
        <w:pStyle w:val="BodyText"/>
      </w:pPr>
      <w:r>
        <w:rPr>
          <w:bCs/>
          <w:b/>
        </w:rPr>
        <w:t xml:space="preserve">Deposition Transcription Costs (reimbursable):</w:t>
      </w:r>
      <w:r>
        <w:t xml:space="preserve"> </w:t>
      </w:r>
      <w:r>
        <w:t xml:space="preserve">$680.00</w:t>
      </w:r>
    </w:p>
    <w:p>
      <w:pPr>
        <w:pStyle w:val="BodyText"/>
      </w:pPr>
      <w:r>
        <w:rPr>
          <w:bCs/>
          <w:b/>
        </w:rPr>
        <w:t xml:space="preserve">Expedited Mailing &amp; Courier Charges (reimbursable):</w:t>
      </w:r>
      <w:r>
        <w:t xml:space="preserve"> </w:t>
      </w:r>
      <w:r>
        <w:t xml:space="preserve">$42.50</w:t>
      </w:r>
    </w:p>
    <w:p>
      <w:pPr>
        <w:pStyle w:val="BodyText"/>
      </w:pPr>
      <w:r>
        <w:rPr>
          <w:bCs/>
          <w:b/>
        </w:rPr>
        <w:t xml:space="preserve">Applicable Texas Sales Tax on Reimbursable Items (8.25%):</w:t>
      </w:r>
      <w:r>
        <w:t xml:space="preserve"> </w:t>
      </w:r>
      <w:r>
        <w:t xml:space="preserve">$96.62</w:t>
      </w:r>
    </w:p>
    <w:p>
      <w:pPr>
        <w:pStyle w:val="BodyText"/>
      </w:pPr>
      <w:r>
        <w:t xml:space="preserve">TOTAL AMOUNT DUE: $14,141.62</w:t>
      </w:r>
    </w:p>
    <w:bookmarkStart w:id="23" w:name="payment-terms-instructions"/>
    <w:p>
      <w:pPr>
        <w:pStyle w:val="Heading3"/>
      </w:pPr>
      <w:r>
        <w:t xml:space="preserve">Payment Terms &amp; Instructions</w:t>
      </w:r>
    </w:p>
    <w:p>
      <w:pPr>
        <w:pStyle w:val="FirstParagraph"/>
      </w:pPr>
      <w:r>
        <w:t xml:space="preserve">This Invoice is payable within thirty (30) days of the date of issue. Payment may be made via certified check, wire transfer, or ACH to the account of Whitfield &amp; Associates Law Firm, located in Houston, Texas, United States. Please reference Invoice Number INV-2024-0892-07 on all remittances. A late payment fee of 1.5% per month will be assessed on any balance remaining after the due date of July 14, 2025, in accordance with the terms of the retainer agreement and applicable Texas law. All payments are to be directed to the firm’s billing office in the United States Houston area. Questions regarding this Invoice or the itemized charges may be directed to our billing coordinator at (713) 555-0147, extension 204.</w:t>
      </w:r>
    </w:p>
    <w:bookmarkEnd w:id="23"/>
    <w:bookmarkStart w:id="24" w:name="X475d2d950284e4d395cf5f991bfe0c60c0cfefd"/>
    <w:p>
      <w:pPr>
        <w:pStyle w:val="Heading3"/>
      </w:pPr>
      <w:r>
        <w:t xml:space="preserve">Important Notes &amp; Attorney-Client Privilege Disclaimer</w:t>
      </w:r>
    </w:p>
    <w:p>
      <w:pPr>
        <w:pStyle w:val="FirstParagraph"/>
      </w:pPr>
      <w:r>
        <w:t xml:space="preserve">This Invoice constitutes a formal billing document issued by a licensed Lawyer in the State of Texas, United States. All services described herein were performed in the capacity of legal counsel representing the client in a commercial litigation matter before the federal courts in Houston, Texas. The information contained in this Invoice, including the nature of the legal matter, is protected under attorney-client privilege and the work-product doctrine. Unauthorized disclosure of this Invoice or its contents to third parties is strictly prohibited. This Invoice does not constitute a legal opinion, and the services rendered are subject to the terms of the engagement letter and retainer agreement on file. Whitfield &amp; Associates Law Firm is a registered legal practice in the United States, operating primarily in the Houston, Texas metropolitan area, and all fees charged comply with the fee guidelines established by the State Bar of Texas. The Lead Lawyer, Margaret E. Whitfield, Esq., is admitted to practice before the Supreme Court of the United States, the U.S. Court of Appeals for the Fifth Circuit, and all federal district courts in the State of Texas. This Invoice is valid only for the billing period stated and does not include services rendered after June 10, 2025, which will be reflected in a subsequent Invoice upon completion of the next billing cycle.</w:t>
      </w:r>
    </w:p>
    <w:bookmarkEnd w:id="24"/>
    <w:p>
      <w:pPr>
        <w:pStyle w:val="BodyText"/>
      </w:pPr>
      <w:r>
        <w:rPr>
          <w:bCs/>
          <w:b/>
        </w:rPr>
        <w:t xml:space="preserve">Whitfield &amp; Associates Law Firm</w:t>
      </w:r>
      <w:r>
        <w:t xml:space="preserve"> </w:t>
      </w:r>
      <w:r>
        <w:t xml:space="preserve">— 1200 Smith Street, Suite 2400, Houston, TX 77002, United States</w:t>
      </w:r>
    </w:p>
    <w:p>
      <w:pPr>
        <w:pStyle w:val="BodyText"/>
      </w:pPr>
      <w:r>
        <w:t xml:space="preserve">Tel: (713) 555-0147 | Fax: (713) 555-0148 | Email: billing@whitfieldlaw.com</w:t>
      </w:r>
    </w:p>
    <w:p>
      <w:pPr>
        <w:pStyle w:val="BodyText"/>
      </w:pPr>
      <w:r>
        <w:t xml:space="preserve">Bar Registration: Texas State Bar | U.S. Federal Bar (5th Circuit) | Houston Bar Association Member</w:t>
      </w:r>
    </w:p>
    <w:p>
      <w:pPr>
        <w:pStyle w:val="BodyText"/>
      </w:pPr>
      <w:r>
        <w:t xml:space="preserve">This Invoice was generated electronically and is valid without a physical signature. For verification, contact the billing office in Houston, United States.</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Houston, United States</dc:title>
  <dc:creator/>
  <dc:language>en</dc:language>
  <cp:keywords/>
  <dcterms:created xsi:type="dcterms:W3CDTF">2026-10-10T09:09:14Z</dcterms:created>
  <dcterms:modified xsi:type="dcterms:W3CDTF">2026-10-10T09:09:14Z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